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650D" w14:textId="77777777" w:rsidR="00253AA4" w:rsidRDefault="008776C3" w:rsidP="00F47564">
      <w:pPr>
        <w:widowControl w:val="0"/>
        <w:jc w:val="right"/>
        <w:rPr>
          <w:rFonts w:ascii="Calibri" w:hAnsi="Calibri" w:cs="Calibri"/>
          <w:b/>
          <w:bCs/>
          <w:sz w:val="32"/>
          <w:szCs w:val="32"/>
        </w:rPr>
      </w:pPr>
      <w:r w:rsidRPr="00F47564">
        <w:rPr>
          <w:rFonts w:ascii="Times New Roman" w:hAnsi="Times New Roman" w:cs="Times New Roman"/>
          <w:b/>
          <w:bCs/>
          <w:noProof/>
        </w:rPr>
        <w:drawing>
          <wp:anchor distT="0" distB="0" distL="114300" distR="114300" simplePos="0" relativeHeight="251662336" behindDoc="1" locked="0" layoutInCell="1" allowOverlap="1" wp14:anchorId="22236C38" wp14:editId="47D51F11">
            <wp:simplePos x="0" y="0"/>
            <wp:positionH relativeFrom="margin">
              <wp:align>right</wp:align>
            </wp:positionH>
            <wp:positionV relativeFrom="paragraph">
              <wp:posOffset>-739775</wp:posOffset>
            </wp:positionV>
            <wp:extent cx="5396230" cy="801070"/>
            <wp:effectExtent l="0" t="0" r="0" b="0"/>
            <wp:wrapNone/>
            <wp:docPr id="1511187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8">
                      <a:extLst>
                        <a:ext uri="{28A0092B-C50C-407E-A947-70E740481C1C}">
                          <a14:useLocalDpi xmlns:a14="http://schemas.microsoft.com/office/drawing/2010/main" val="0"/>
                        </a:ext>
                      </a:extLst>
                    </a:blip>
                    <a:stretch>
                      <a:fillRect/>
                    </a:stretch>
                  </pic:blipFill>
                  <pic:spPr>
                    <a:xfrm>
                      <a:off x="0" y="0"/>
                      <a:ext cx="5396230" cy="801070"/>
                    </a:xfrm>
                    <a:prstGeom prst="rect">
                      <a:avLst/>
                    </a:prstGeom>
                  </pic:spPr>
                </pic:pic>
              </a:graphicData>
            </a:graphic>
          </wp:anchor>
        </w:drawing>
      </w:r>
    </w:p>
    <w:p w14:paraId="0E71EE72" w14:textId="77777777" w:rsidR="00253AA4" w:rsidRPr="00761763" w:rsidRDefault="00253AA4" w:rsidP="00253AA4">
      <w:pPr>
        <w:spacing w:line="360" w:lineRule="auto"/>
        <w:jc w:val="right"/>
        <w:rPr>
          <w:rFonts w:cstheme="minorHAnsi"/>
          <w:b/>
          <w:bCs/>
          <w:i/>
          <w:iCs/>
        </w:rPr>
      </w:pPr>
      <w:r w:rsidRPr="00761763">
        <w:rPr>
          <w:rFonts w:cstheme="minorHAnsi"/>
          <w:b/>
          <w:bCs/>
          <w:i/>
          <w:iCs/>
        </w:rPr>
        <w:t>Artículos científicos</w:t>
      </w:r>
    </w:p>
    <w:p w14:paraId="469ECA9E" w14:textId="622A4C8F" w:rsidR="00751571" w:rsidRPr="00253AA4" w:rsidRDefault="005B14FE" w:rsidP="00404F84">
      <w:pPr>
        <w:widowControl w:val="0"/>
        <w:spacing w:before="240" w:line="276" w:lineRule="auto"/>
        <w:jc w:val="right"/>
        <w:rPr>
          <w:rFonts w:ascii="Calibri" w:hAnsi="Calibri" w:cs="Calibri"/>
          <w:b/>
          <w:bCs/>
        </w:rPr>
      </w:pPr>
      <w:r w:rsidRPr="00253AA4">
        <w:rPr>
          <w:rFonts w:ascii="Calibri" w:hAnsi="Calibri" w:cs="Calibri"/>
          <w:b/>
          <w:bCs/>
          <w:sz w:val="32"/>
          <w:szCs w:val="32"/>
        </w:rPr>
        <w:t>Las políticas de vivienda en España: de la propiedad a la precarización</w:t>
      </w:r>
    </w:p>
    <w:p w14:paraId="2870C551" w14:textId="5F9D3EC9" w:rsidR="00B46533" w:rsidRPr="00253AA4" w:rsidRDefault="00B46533" w:rsidP="00404F84">
      <w:pPr>
        <w:widowControl w:val="0"/>
        <w:spacing w:before="240" w:line="276" w:lineRule="auto"/>
        <w:jc w:val="right"/>
        <w:rPr>
          <w:rFonts w:ascii="Calibri" w:hAnsi="Calibri" w:cs="Calibri"/>
          <w:b/>
          <w:bCs/>
          <w:i/>
          <w:iCs/>
          <w:sz w:val="28"/>
          <w:szCs w:val="28"/>
          <w:lang w:val="en-US"/>
        </w:rPr>
      </w:pPr>
      <w:r w:rsidRPr="00253AA4">
        <w:rPr>
          <w:rFonts w:ascii="Calibri" w:hAnsi="Calibri" w:cs="Calibri"/>
          <w:b/>
          <w:bCs/>
          <w:i/>
          <w:iCs/>
          <w:sz w:val="28"/>
          <w:szCs w:val="28"/>
          <w:lang w:val="en-US"/>
        </w:rPr>
        <w:t>Housing policies in Spain: from ownership to precariousness</w:t>
      </w:r>
    </w:p>
    <w:p w14:paraId="2AA92628" w14:textId="75792359" w:rsidR="00F47564" w:rsidRPr="00253AA4" w:rsidRDefault="00F47564" w:rsidP="00404F84">
      <w:pPr>
        <w:widowControl w:val="0"/>
        <w:spacing w:before="240" w:line="276" w:lineRule="auto"/>
        <w:jc w:val="right"/>
        <w:rPr>
          <w:rFonts w:ascii="Calibri" w:hAnsi="Calibri" w:cs="Calibri"/>
          <w:b/>
          <w:bCs/>
          <w:i/>
          <w:iCs/>
          <w:sz w:val="28"/>
          <w:szCs w:val="28"/>
          <w:lang w:val="en-US"/>
        </w:rPr>
      </w:pPr>
      <w:proofErr w:type="spellStart"/>
      <w:r w:rsidRPr="00253AA4">
        <w:rPr>
          <w:rFonts w:ascii="Calibri" w:hAnsi="Calibri" w:cs="Calibri"/>
          <w:b/>
          <w:bCs/>
          <w:i/>
          <w:iCs/>
          <w:sz w:val="28"/>
          <w:szCs w:val="28"/>
          <w:lang w:val="en-US"/>
        </w:rPr>
        <w:t>Políticas</w:t>
      </w:r>
      <w:proofErr w:type="spellEnd"/>
      <w:r w:rsidRPr="00253AA4">
        <w:rPr>
          <w:rFonts w:ascii="Calibri" w:hAnsi="Calibri" w:cs="Calibri"/>
          <w:b/>
          <w:bCs/>
          <w:i/>
          <w:iCs/>
          <w:sz w:val="28"/>
          <w:szCs w:val="28"/>
          <w:lang w:val="en-US"/>
        </w:rPr>
        <w:t xml:space="preserve"> de </w:t>
      </w:r>
      <w:proofErr w:type="spellStart"/>
      <w:r w:rsidRPr="00253AA4">
        <w:rPr>
          <w:rFonts w:ascii="Calibri" w:hAnsi="Calibri" w:cs="Calibri"/>
          <w:b/>
          <w:bCs/>
          <w:i/>
          <w:iCs/>
          <w:sz w:val="28"/>
          <w:szCs w:val="28"/>
          <w:lang w:val="en-US"/>
        </w:rPr>
        <w:t>habitação</w:t>
      </w:r>
      <w:proofErr w:type="spellEnd"/>
      <w:r w:rsidRPr="00253AA4">
        <w:rPr>
          <w:rFonts w:ascii="Calibri" w:hAnsi="Calibri" w:cs="Calibri"/>
          <w:b/>
          <w:bCs/>
          <w:i/>
          <w:iCs/>
          <w:sz w:val="28"/>
          <w:szCs w:val="28"/>
          <w:lang w:val="en-US"/>
        </w:rPr>
        <w:t xml:space="preserve"> </w:t>
      </w:r>
      <w:proofErr w:type="spellStart"/>
      <w:r w:rsidRPr="00253AA4">
        <w:rPr>
          <w:rFonts w:ascii="Calibri" w:hAnsi="Calibri" w:cs="Calibri"/>
          <w:b/>
          <w:bCs/>
          <w:i/>
          <w:iCs/>
          <w:sz w:val="28"/>
          <w:szCs w:val="28"/>
          <w:lang w:val="en-US"/>
        </w:rPr>
        <w:t>em</w:t>
      </w:r>
      <w:proofErr w:type="spellEnd"/>
      <w:r w:rsidRPr="00253AA4">
        <w:rPr>
          <w:rFonts w:ascii="Calibri" w:hAnsi="Calibri" w:cs="Calibri"/>
          <w:b/>
          <w:bCs/>
          <w:i/>
          <w:iCs/>
          <w:sz w:val="28"/>
          <w:szCs w:val="28"/>
          <w:lang w:val="en-US"/>
        </w:rPr>
        <w:t xml:space="preserve"> </w:t>
      </w:r>
      <w:proofErr w:type="spellStart"/>
      <w:r w:rsidRPr="00253AA4">
        <w:rPr>
          <w:rFonts w:ascii="Calibri" w:hAnsi="Calibri" w:cs="Calibri"/>
          <w:b/>
          <w:bCs/>
          <w:i/>
          <w:iCs/>
          <w:sz w:val="28"/>
          <w:szCs w:val="28"/>
          <w:lang w:val="en-US"/>
        </w:rPr>
        <w:t>Espanha</w:t>
      </w:r>
      <w:proofErr w:type="spellEnd"/>
      <w:r w:rsidRPr="00253AA4">
        <w:rPr>
          <w:rFonts w:ascii="Calibri" w:hAnsi="Calibri" w:cs="Calibri"/>
          <w:b/>
          <w:bCs/>
          <w:i/>
          <w:iCs/>
          <w:sz w:val="28"/>
          <w:szCs w:val="28"/>
          <w:lang w:val="en-US"/>
        </w:rPr>
        <w:t xml:space="preserve">: da </w:t>
      </w:r>
      <w:proofErr w:type="spellStart"/>
      <w:r w:rsidRPr="00253AA4">
        <w:rPr>
          <w:rFonts w:ascii="Calibri" w:hAnsi="Calibri" w:cs="Calibri"/>
          <w:b/>
          <w:bCs/>
          <w:i/>
          <w:iCs/>
          <w:sz w:val="28"/>
          <w:szCs w:val="28"/>
          <w:lang w:val="en-US"/>
        </w:rPr>
        <w:t>propriedade</w:t>
      </w:r>
      <w:proofErr w:type="spellEnd"/>
      <w:r w:rsidRPr="00253AA4">
        <w:rPr>
          <w:rFonts w:ascii="Calibri" w:hAnsi="Calibri" w:cs="Calibri"/>
          <w:b/>
          <w:bCs/>
          <w:i/>
          <w:iCs/>
          <w:sz w:val="28"/>
          <w:szCs w:val="28"/>
          <w:lang w:val="en-US"/>
        </w:rPr>
        <w:t xml:space="preserve"> à </w:t>
      </w:r>
      <w:proofErr w:type="spellStart"/>
      <w:r w:rsidRPr="00253AA4">
        <w:rPr>
          <w:rFonts w:ascii="Calibri" w:hAnsi="Calibri" w:cs="Calibri"/>
          <w:b/>
          <w:bCs/>
          <w:i/>
          <w:iCs/>
          <w:sz w:val="28"/>
          <w:szCs w:val="28"/>
          <w:lang w:val="en-US"/>
        </w:rPr>
        <w:t>precariedade</w:t>
      </w:r>
      <w:proofErr w:type="spellEnd"/>
    </w:p>
    <w:p w14:paraId="175507C5" w14:textId="77777777" w:rsidR="005B14FE" w:rsidRPr="00253AA4" w:rsidRDefault="005B14FE" w:rsidP="00404F84">
      <w:pPr>
        <w:widowControl w:val="0"/>
        <w:spacing w:line="276" w:lineRule="auto"/>
        <w:jc w:val="center"/>
        <w:rPr>
          <w:rFonts w:ascii="Calibri" w:hAnsi="Calibri" w:cs="Calibri"/>
          <w:b/>
          <w:bCs/>
          <w:sz w:val="22"/>
          <w:szCs w:val="22"/>
          <w:lang w:val="en-US"/>
        </w:rPr>
      </w:pPr>
    </w:p>
    <w:p w14:paraId="48D18835" w14:textId="3BE6A5E9" w:rsidR="00751571" w:rsidRPr="00253AA4" w:rsidRDefault="00751571" w:rsidP="00404F84">
      <w:pPr>
        <w:widowControl w:val="0"/>
        <w:spacing w:before="240" w:line="276" w:lineRule="auto"/>
        <w:jc w:val="right"/>
        <w:rPr>
          <w:rFonts w:ascii="Calibri" w:hAnsi="Calibri" w:cs="Calibri"/>
          <w:b/>
          <w:bCs/>
        </w:rPr>
      </w:pPr>
      <w:r w:rsidRPr="00253AA4">
        <w:rPr>
          <w:rFonts w:ascii="Calibri" w:hAnsi="Calibri" w:cs="Calibri"/>
          <w:b/>
          <w:bCs/>
        </w:rPr>
        <w:t>Héctor Simón Moreno</w:t>
      </w:r>
    </w:p>
    <w:p w14:paraId="61070A64" w14:textId="67F21348" w:rsidR="00751571" w:rsidRPr="00253AA4" w:rsidRDefault="006B3E4E" w:rsidP="00404F84">
      <w:pPr>
        <w:widowControl w:val="0"/>
        <w:spacing w:before="240" w:line="276" w:lineRule="auto"/>
        <w:jc w:val="right"/>
        <w:rPr>
          <w:rFonts w:ascii="Calibri" w:hAnsi="Calibri" w:cs="Calibri"/>
        </w:rPr>
      </w:pPr>
      <w:r w:rsidRPr="00253AA4">
        <w:rPr>
          <w:rFonts w:ascii="Calibri" w:hAnsi="Calibri" w:cs="Calibri"/>
        </w:rPr>
        <w:t>Profesor</w:t>
      </w:r>
      <w:r w:rsidR="00751571" w:rsidRPr="00253AA4">
        <w:rPr>
          <w:rFonts w:ascii="Calibri" w:hAnsi="Calibri" w:cs="Calibri"/>
        </w:rPr>
        <w:t xml:space="preserve"> </w:t>
      </w:r>
      <w:r w:rsidRPr="00253AA4">
        <w:rPr>
          <w:rFonts w:ascii="Calibri" w:hAnsi="Calibri" w:cs="Calibri"/>
        </w:rPr>
        <w:t>Agregado</w:t>
      </w:r>
      <w:r w:rsidR="00751571" w:rsidRPr="00253AA4">
        <w:rPr>
          <w:rFonts w:ascii="Calibri" w:hAnsi="Calibri" w:cs="Calibri"/>
        </w:rPr>
        <w:t xml:space="preserve"> de </w:t>
      </w:r>
      <w:r w:rsidRPr="00253AA4">
        <w:rPr>
          <w:rFonts w:ascii="Calibri" w:hAnsi="Calibri" w:cs="Calibri"/>
        </w:rPr>
        <w:t>Derecho</w:t>
      </w:r>
      <w:r w:rsidR="00751571" w:rsidRPr="00253AA4">
        <w:rPr>
          <w:rFonts w:ascii="Calibri" w:hAnsi="Calibri" w:cs="Calibri"/>
        </w:rPr>
        <w:t xml:space="preserve"> Civil</w:t>
      </w:r>
      <w:r w:rsidR="009F21DF" w:rsidRPr="00253AA4">
        <w:rPr>
          <w:rFonts w:ascii="Calibri" w:hAnsi="Calibri" w:cs="Calibri"/>
        </w:rPr>
        <w:t xml:space="preserve"> y </w:t>
      </w:r>
      <w:proofErr w:type="gramStart"/>
      <w:r w:rsidR="00751571" w:rsidRPr="00253AA4">
        <w:rPr>
          <w:rFonts w:ascii="Calibri" w:hAnsi="Calibri" w:cs="Calibri"/>
        </w:rPr>
        <w:t>Director</w:t>
      </w:r>
      <w:proofErr w:type="gramEnd"/>
      <w:r w:rsidR="00751571" w:rsidRPr="00253AA4">
        <w:rPr>
          <w:rFonts w:ascii="Calibri" w:hAnsi="Calibri" w:cs="Calibri"/>
        </w:rPr>
        <w:t xml:space="preserve"> de la </w:t>
      </w:r>
      <w:r w:rsidRPr="00253AA4">
        <w:rPr>
          <w:rFonts w:ascii="Calibri" w:hAnsi="Calibri" w:cs="Calibri"/>
        </w:rPr>
        <w:t>Cá</w:t>
      </w:r>
      <w:r w:rsidR="00751571" w:rsidRPr="00253AA4">
        <w:rPr>
          <w:rFonts w:ascii="Calibri" w:hAnsi="Calibri" w:cs="Calibri"/>
        </w:rPr>
        <w:t xml:space="preserve">tedra UNESCO </w:t>
      </w:r>
      <w:r w:rsidRPr="00253AA4">
        <w:rPr>
          <w:rFonts w:ascii="Calibri" w:hAnsi="Calibri" w:cs="Calibri"/>
        </w:rPr>
        <w:t>de Vivienda</w:t>
      </w:r>
      <w:r w:rsidR="00253AA4">
        <w:rPr>
          <w:rFonts w:ascii="Calibri" w:hAnsi="Calibri" w:cs="Calibri"/>
        </w:rPr>
        <w:t xml:space="preserve"> </w:t>
      </w:r>
      <w:r w:rsidR="009F21DF" w:rsidRPr="00253AA4">
        <w:rPr>
          <w:rFonts w:ascii="Calibri" w:hAnsi="Calibri" w:cs="Calibri"/>
        </w:rPr>
        <w:t xml:space="preserve">de la </w:t>
      </w:r>
      <w:r w:rsidRPr="00253AA4">
        <w:rPr>
          <w:rFonts w:ascii="Calibri" w:hAnsi="Calibri" w:cs="Calibri"/>
        </w:rPr>
        <w:t>Universidad</w:t>
      </w:r>
      <w:r w:rsidR="00751571" w:rsidRPr="00253AA4">
        <w:rPr>
          <w:rFonts w:ascii="Calibri" w:hAnsi="Calibri" w:cs="Calibri"/>
        </w:rPr>
        <w:t xml:space="preserve"> Rovira i Virgili</w:t>
      </w:r>
    </w:p>
    <w:p w14:paraId="5CDC116A" w14:textId="54C87F17" w:rsidR="009F21DF" w:rsidRPr="00253AA4" w:rsidRDefault="009F21DF" w:rsidP="00790CFB">
      <w:pPr>
        <w:widowControl w:val="0"/>
        <w:spacing w:before="240" w:line="276" w:lineRule="auto"/>
        <w:jc w:val="right"/>
        <w:rPr>
          <w:rFonts w:ascii="Calibri" w:hAnsi="Calibri" w:cs="Calibri"/>
          <w:color w:val="FF0000"/>
        </w:rPr>
      </w:pPr>
      <w:r w:rsidRPr="00253AA4">
        <w:rPr>
          <w:rFonts w:ascii="Calibri" w:hAnsi="Calibri" w:cs="Calibri"/>
          <w:color w:val="FF0000"/>
        </w:rPr>
        <w:t xml:space="preserve">hector.simon@urv.cat </w:t>
      </w:r>
    </w:p>
    <w:p w14:paraId="406732F2" w14:textId="77777777" w:rsidR="00AE7FE6" w:rsidRPr="00253AA4" w:rsidRDefault="00AE7FE6" w:rsidP="00CA797F">
      <w:pPr>
        <w:widowControl w:val="0"/>
        <w:jc w:val="right"/>
        <w:rPr>
          <w:rFonts w:ascii="Calibri" w:hAnsi="Calibri" w:cs="Calibri"/>
          <w:sz w:val="22"/>
          <w:szCs w:val="22"/>
          <w:lang w:val="en-US"/>
        </w:rPr>
      </w:pPr>
    </w:p>
    <w:p w14:paraId="49CCD0FA" w14:textId="77777777" w:rsidR="00C86DA2" w:rsidRPr="00253AA4" w:rsidRDefault="00C86DA2" w:rsidP="00253AA4">
      <w:pPr>
        <w:widowControl w:val="0"/>
        <w:spacing w:line="360" w:lineRule="auto"/>
        <w:rPr>
          <w:rFonts w:ascii="Calibri" w:hAnsi="Calibri" w:cs="Calibri"/>
          <w:sz w:val="22"/>
          <w:szCs w:val="22"/>
          <w:lang w:val="en-US"/>
        </w:rPr>
      </w:pPr>
    </w:p>
    <w:p w14:paraId="639DC9D0" w14:textId="77777777" w:rsidR="00253AA4" w:rsidRPr="00253AA4" w:rsidRDefault="00253AA4" w:rsidP="00790CFB">
      <w:pPr>
        <w:widowControl w:val="0"/>
        <w:spacing w:line="360" w:lineRule="auto"/>
        <w:rPr>
          <w:rFonts w:ascii="Calibri" w:hAnsi="Calibri" w:cs="Calibri"/>
          <w:b/>
          <w:bCs/>
          <w:sz w:val="28"/>
          <w:szCs w:val="28"/>
        </w:rPr>
      </w:pPr>
      <w:r w:rsidRPr="00253AA4">
        <w:rPr>
          <w:rFonts w:ascii="Calibri" w:hAnsi="Calibri" w:cs="Calibri"/>
          <w:b/>
          <w:bCs/>
          <w:sz w:val="28"/>
          <w:szCs w:val="28"/>
        </w:rPr>
        <w:t>Resumen</w:t>
      </w:r>
    </w:p>
    <w:p w14:paraId="37542214" w14:textId="77777777" w:rsidR="00253AA4" w:rsidRPr="00253AA4" w:rsidRDefault="00253AA4" w:rsidP="00790CFB">
      <w:pPr>
        <w:widowControl w:val="0"/>
        <w:spacing w:line="360" w:lineRule="auto"/>
        <w:jc w:val="both"/>
        <w:rPr>
          <w:rFonts w:ascii="Calibri" w:hAnsi="Calibri" w:cs="Calibri"/>
        </w:rPr>
      </w:pPr>
      <w:r w:rsidRPr="00253AA4">
        <w:rPr>
          <w:rFonts w:ascii="Calibri" w:hAnsi="Calibri" w:cs="Calibri"/>
        </w:rPr>
        <w:t xml:space="preserve">La vivienda es un pilar básico del sistema de bienestar, pues es una condición necesaria para el desarrollo de otros derechos fundamentales como la intimidad, la educación, la dignidad humana y la salud. La crisis financiera mundial de 2007 sigue teniendo un grave impacto en los ciudadanos de nuestro país, que ahora se combina con los efectos de las crisis derivadas de la COVID-19 (2020-2021) y la inflación (2022). En efecto, el proceso constante de urbanización, junto con el proceso de vaciamiento del espacio rural y la falta de viviendas sociales y asequibles, ha contribuido a que la vivienda sea inasequible en las principales zonas urbanas de nuestro país para las familias con menor poder adquisitivo. Sin embargo, las políticas públicas de vivienda multinivel han sido erráticas en los últimos años, sin proveer alternativas reales de acceso a la vivienda en propiedad (de la cual están excluidos los jóvenes y las familias con menos ingresos) o en alquiler (que sigue sin ser una alternativa realmente deseada a la propiedad de la vivienda), al tiempo que los intentos por aumentar el parque de vivienda social y asequible (por ejemplo, a través de expropiaciones o sanciones a los propietarios de viviendas vacías) han tenido un éxito limitado. Esto ha provocado una precarización progresiva de la tenencia y un aumento (e, incluso, su promoción por parte de los poderes públicos) de </w:t>
      </w:r>
      <w:r w:rsidRPr="00253AA4">
        <w:rPr>
          <w:rFonts w:ascii="Calibri" w:hAnsi="Calibri" w:cs="Calibri"/>
        </w:rPr>
        <w:lastRenderedPageBreak/>
        <w:t xml:space="preserve">las situaciones de sinhogarismo oculto, como la </w:t>
      </w:r>
      <w:proofErr w:type="spellStart"/>
      <w:r w:rsidRPr="00253AA4">
        <w:rPr>
          <w:rFonts w:ascii="Calibri" w:hAnsi="Calibri" w:cs="Calibri"/>
        </w:rPr>
        <w:t>okupación</w:t>
      </w:r>
      <w:proofErr w:type="spellEnd"/>
      <w:r w:rsidRPr="00253AA4">
        <w:rPr>
          <w:rFonts w:ascii="Calibri" w:hAnsi="Calibri" w:cs="Calibri"/>
        </w:rPr>
        <w:t>, la vivienda compartida, la sobreocupación o la infravivienda, sin que la Ley estatal de vivienda 12/2023 haya adoptado ninguna medida estructural para subsanar las lagunas existentes en el desarrollo del derecho a una vivienda digna y adecuada. El presente artículo analiza esta problemática y posibles soluciones estructurales en el problema de la vivienda, como la cohesión territorial o la diversificación de las tenencias de la vivienda.</w:t>
      </w:r>
    </w:p>
    <w:p w14:paraId="37427832" w14:textId="77777777" w:rsidR="00253AA4" w:rsidRDefault="00253AA4" w:rsidP="00790CFB">
      <w:pPr>
        <w:widowControl w:val="0"/>
        <w:spacing w:line="360" w:lineRule="auto"/>
        <w:jc w:val="both"/>
        <w:rPr>
          <w:rFonts w:ascii="Calibri" w:hAnsi="Calibri" w:cs="Calibri"/>
        </w:rPr>
      </w:pPr>
      <w:r w:rsidRPr="00253AA4">
        <w:rPr>
          <w:rFonts w:ascii="Calibri" w:hAnsi="Calibri" w:cs="Calibri"/>
          <w:b/>
          <w:bCs/>
          <w:sz w:val="28"/>
          <w:szCs w:val="28"/>
        </w:rPr>
        <w:t xml:space="preserve">Palabras clave: </w:t>
      </w:r>
      <w:r w:rsidRPr="00253AA4">
        <w:rPr>
          <w:rFonts w:ascii="Calibri" w:hAnsi="Calibri" w:cs="Calibri"/>
        </w:rPr>
        <w:t>Políticas públicas, Derecho a la vivienda, Estado del bienestar, Tenencias de la vivienda, Cohesión territorial</w:t>
      </w:r>
    </w:p>
    <w:p w14:paraId="760B0319" w14:textId="77777777" w:rsidR="00077137" w:rsidRPr="00253AA4" w:rsidRDefault="00077137" w:rsidP="00790CFB">
      <w:pPr>
        <w:widowControl w:val="0"/>
        <w:spacing w:line="360" w:lineRule="auto"/>
        <w:jc w:val="both"/>
        <w:rPr>
          <w:rFonts w:ascii="Calibri" w:hAnsi="Calibri" w:cs="Calibri"/>
          <w:b/>
          <w:bCs/>
        </w:rPr>
      </w:pPr>
    </w:p>
    <w:p w14:paraId="1C8BBC42" w14:textId="0C09E7B1" w:rsidR="00C54DD1" w:rsidRPr="00253AA4" w:rsidRDefault="00C54DD1" w:rsidP="00790CFB">
      <w:pPr>
        <w:widowControl w:val="0"/>
        <w:spacing w:line="360" w:lineRule="auto"/>
        <w:rPr>
          <w:rFonts w:ascii="Calibri" w:hAnsi="Calibri" w:cs="Calibri"/>
          <w:b/>
          <w:bCs/>
          <w:sz w:val="28"/>
          <w:szCs w:val="28"/>
          <w:lang w:val="ca-ES"/>
        </w:rPr>
      </w:pPr>
      <w:proofErr w:type="spellStart"/>
      <w:r w:rsidRPr="00253AA4">
        <w:rPr>
          <w:rFonts w:ascii="Calibri" w:hAnsi="Calibri" w:cs="Calibri"/>
          <w:b/>
          <w:bCs/>
          <w:sz w:val="28"/>
          <w:szCs w:val="28"/>
          <w:lang w:val="ca-ES"/>
        </w:rPr>
        <w:t>Abstract</w:t>
      </w:r>
      <w:proofErr w:type="spellEnd"/>
    </w:p>
    <w:p w14:paraId="25453F0C" w14:textId="5C1CD1DB" w:rsidR="00C54DD1" w:rsidRPr="00253AA4" w:rsidRDefault="00C54DD1" w:rsidP="00790CFB">
      <w:pPr>
        <w:widowControl w:val="0"/>
        <w:spacing w:line="360" w:lineRule="auto"/>
        <w:jc w:val="both"/>
        <w:rPr>
          <w:rFonts w:ascii="Calibri" w:hAnsi="Calibri" w:cs="Calibri"/>
          <w:lang w:val="en-US"/>
        </w:rPr>
      </w:pPr>
      <w:r w:rsidRPr="00253AA4">
        <w:rPr>
          <w:rFonts w:ascii="Calibri" w:hAnsi="Calibri" w:cs="Calibri"/>
          <w:lang w:val="en-US"/>
        </w:rPr>
        <w:t>Housing is a basic pillar of the welfare state, as it is a necessary condition for the development of other fundamental rights, such as privacy, education, human dignity or health. The global financial crisis of 2007 continues to have a serious impact on the citizens of our country, which is now combined with the effects arising from the COVID</w:t>
      </w:r>
      <w:r w:rsidR="005C32D5" w:rsidRPr="00253AA4">
        <w:rPr>
          <w:rFonts w:ascii="Calibri" w:hAnsi="Calibri" w:cs="Calibri"/>
          <w:lang w:val="en-US"/>
        </w:rPr>
        <w:t>-</w:t>
      </w:r>
      <w:r w:rsidRPr="00253AA4">
        <w:rPr>
          <w:rFonts w:ascii="Calibri" w:hAnsi="Calibri" w:cs="Calibri"/>
          <w:lang w:val="en-US"/>
        </w:rPr>
        <w:t>19 (2020-2021) and inflation (2022) crises. Indeed, the constant process of urbanization, couple</w:t>
      </w:r>
      <w:r w:rsidR="00ED0785" w:rsidRPr="00253AA4">
        <w:rPr>
          <w:rFonts w:ascii="Calibri" w:hAnsi="Calibri" w:cs="Calibri"/>
          <w:lang w:val="en-US"/>
        </w:rPr>
        <w:t>d</w:t>
      </w:r>
      <w:r w:rsidRPr="00253AA4">
        <w:rPr>
          <w:rFonts w:ascii="Calibri" w:hAnsi="Calibri" w:cs="Calibri"/>
          <w:lang w:val="en-US"/>
        </w:rPr>
        <w:t xml:space="preserve"> with the process of </w:t>
      </w:r>
      <w:r w:rsidR="00ED0785" w:rsidRPr="00253AA4">
        <w:rPr>
          <w:rFonts w:ascii="Calibri" w:hAnsi="Calibri" w:cs="Calibri"/>
          <w:lang w:val="en-US"/>
        </w:rPr>
        <w:t>rura</w:t>
      </w:r>
      <w:r w:rsidR="004169F5" w:rsidRPr="00253AA4">
        <w:rPr>
          <w:rFonts w:ascii="Calibri" w:hAnsi="Calibri" w:cs="Calibri"/>
          <w:lang w:val="en-US"/>
        </w:rPr>
        <w:t>l depopulation</w:t>
      </w:r>
      <w:r w:rsidRPr="00253AA4">
        <w:rPr>
          <w:rFonts w:ascii="Calibri" w:hAnsi="Calibri" w:cs="Calibri"/>
          <w:lang w:val="en-US"/>
        </w:rPr>
        <w:t xml:space="preserve"> and the lack of social and affordable housing, has contributed to making housing unaffordable in the main urban areas of our country </w:t>
      </w:r>
      <w:r w:rsidR="004169F5" w:rsidRPr="00253AA4">
        <w:rPr>
          <w:rFonts w:ascii="Calibri" w:hAnsi="Calibri" w:cs="Calibri"/>
          <w:lang w:val="en-US"/>
        </w:rPr>
        <w:t>for</w:t>
      </w:r>
      <w:r w:rsidRPr="00253AA4">
        <w:rPr>
          <w:rFonts w:ascii="Calibri" w:hAnsi="Calibri" w:cs="Calibri"/>
          <w:lang w:val="en-US"/>
        </w:rPr>
        <w:t xml:space="preserve"> less well-off families. Multilevel public housing policies, however, have been erratic in recent years without providing real alternatives to ownership (which </w:t>
      </w:r>
      <w:r w:rsidR="00FD68DF" w:rsidRPr="00253AA4">
        <w:rPr>
          <w:rFonts w:ascii="Calibri" w:hAnsi="Calibri" w:cs="Calibri"/>
          <w:lang w:val="en-US"/>
        </w:rPr>
        <w:t xml:space="preserve">excludes </w:t>
      </w:r>
      <w:r w:rsidRPr="00253AA4">
        <w:rPr>
          <w:rFonts w:ascii="Calibri" w:hAnsi="Calibri" w:cs="Calibri"/>
          <w:lang w:val="en-US"/>
        </w:rPr>
        <w:t xml:space="preserve">young people and low-income families) or </w:t>
      </w:r>
      <w:r w:rsidR="004541A0" w:rsidRPr="00253AA4">
        <w:rPr>
          <w:rFonts w:ascii="Calibri" w:hAnsi="Calibri" w:cs="Calibri"/>
          <w:lang w:val="en-US"/>
        </w:rPr>
        <w:t xml:space="preserve">rental housing </w:t>
      </w:r>
      <w:r w:rsidRPr="00253AA4">
        <w:rPr>
          <w:rFonts w:ascii="Calibri" w:hAnsi="Calibri" w:cs="Calibri"/>
          <w:lang w:val="en-US"/>
        </w:rPr>
        <w:t xml:space="preserve">(which is </w:t>
      </w:r>
      <w:r w:rsidR="004541A0" w:rsidRPr="00253AA4">
        <w:rPr>
          <w:rFonts w:ascii="Calibri" w:hAnsi="Calibri" w:cs="Calibri"/>
          <w:lang w:val="en-US"/>
        </w:rPr>
        <w:t xml:space="preserve">still not considered </w:t>
      </w:r>
      <w:r w:rsidRPr="00253AA4">
        <w:rPr>
          <w:rFonts w:ascii="Calibri" w:hAnsi="Calibri" w:cs="Calibri"/>
          <w:lang w:val="en-US"/>
        </w:rPr>
        <w:t>a truly desirable alternative to ownership), while attempts to increase the stock of social and affordable housing (for example, through expropriations or penalties for owners of empty homes) have had limited success. This has led to a</w:t>
      </w:r>
      <w:r w:rsidR="008B443B" w:rsidRPr="00253AA4">
        <w:rPr>
          <w:rFonts w:ascii="Calibri" w:hAnsi="Calibri" w:cs="Calibri"/>
          <w:lang w:val="en-US"/>
        </w:rPr>
        <w:t xml:space="preserve">n increasing </w:t>
      </w:r>
      <w:r w:rsidRPr="00253AA4">
        <w:rPr>
          <w:rFonts w:ascii="Calibri" w:hAnsi="Calibri" w:cs="Calibri"/>
          <w:lang w:val="en-US"/>
        </w:rPr>
        <w:t>precariousness of tenure and the increase and, even, its promotion by public authorities</w:t>
      </w:r>
      <w:r w:rsidR="008B443B" w:rsidRPr="00253AA4">
        <w:rPr>
          <w:rFonts w:ascii="Calibri" w:hAnsi="Calibri" w:cs="Calibri"/>
          <w:lang w:val="en-US"/>
        </w:rPr>
        <w:t xml:space="preserve">, fostering </w:t>
      </w:r>
      <w:r w:rsidRPr="00253AA4">
        <w:rPr>
          <w:rFonts w:ascii="Calibri" w:hAnsi="Calibri" w:cs="Calibri"/>
          <w:lang w:val="en-US"/>
        </w:rPr>
        <w:t>hidden homelessness</w:t>
      </w:r>
      <w:r w:rsidR="008B443B" w:rsidRPr="00253AA4">
        <w:rPr>
          <w:rFonts w:ascii="Calibri" w:hAnsi="Calibri" w:cs="Calibri"/>
          <w:lang w:val="en-US"/>
        </w:rPr>
        <w:t xml:space="preserve"> situations</w:t>
      </w:r>
      <w:r w:rsidRPr="00253AA4">
        <w:rPr>
          <w:rFonts w:ascii="Calibri" w:hAnsi="Calibri" w:cs="Calibri"/>
          <w:lang w:val="en-US"/>
        </w:rPr>
        <w:t>, such as squatting, shared housing, overcrowding or substandard</w:t>
      </w:r>
      <w:r w:rsidR="00A158A6" w:rsidRPr="00253AA4">
        <w:rPr>
          <w:rFonts w:ascii="Calibri" w:hAnsi="Calibri" w:cs="Calibri"/>
          <w:lang w:val="en-US"/>
        </w:rPr>
        <w:t xml:space="preserve"> </w:t>
      </w:r>
      <w:r w:rsidRPr="00253AA4">
        <w:rPr>
          <w:rFonts w:ascii="Calibri" w:hAnsi="Calibri" w:cs="Calibri"/>
          <w:lang w:val="en-US"/>
        </w:rPr>
        <w:t xml:space="preserve">housing, without the State Housing Law 12/2023 having implemented any structural measures to cover the existing gaps in the development of the right to decent and adequate housing, a function that corresponds to public authorities and not to private owners. This article analyzes this problem and possible structural solutions to the housing problem, such as </w:t>
      </w:r>
      <w:r w:rsidRPr="00C9650A">
        <w:t xml:space="preserve">territorial </w:t>
      </w:r>
      <w:proofErr w:type="spellStart"/>
      <w:r w:rsidRPr="00C9650A">
        <w:t>cohe</w:t>
      </w:r>
      <w:r w:rsidRPr="00253AA4">
        <w:rPr>
          <w:rFonts w:ascii="Calibri" w:hAnsi="Calibri" w:cs="Calibri"/>
          <w:lang w:val="en-US"/>
        </w:rPr>
        <w:t>sion</w:t>
      </w:r>
      <w:proofErr w:type="spellEnd"/>
      <w:r w:rsidRPr="00253AA4">
        <w:rPr>
          <w:rFonts w:ascii="Calibri" w:hAnsi="Calibri" w:cs="Calibri"/>
          <w:lang w:val="en-US"/>
        </w:rPr>
        <w:t xml:space="preserve"> or the diversification of housing tenures.</w:t>
      </w:r>
    </w:p>
    <w:p w14:paraId="14487F41" w14:textId="4EAE1CED" w:rsidR="001D7873" w:rsidRPr="00253AA4" w:rsidRDefault="001D7873" w:rsidP="00790CFB">
      <w:pPr>
        <w:widowControl w:val="0"/>
        <w:spacing w:line="360" w:lineRule="auto"/>
        <w:jc w:val="both"/>
        <w:rPr>
          <w:rFonts w:ascii="Calibri" w:hAnsi="Calibri" w:cs="Calibri"/>
          <w:b/>
          <w:bCs/>
          <w:lang w:val="en-US"/>
        </w:rPr>
      </w:pPr>
      <w:r w:rsidRPr="00253AA4">
        <w:rPr>
          <w:rFonts w:ascii="Calibri" w:hAnsi="Calibri" w:cs="Calibri"/>
          <w:b/>
          <w:bCs/>
          <w:sz w:val="28"/>
          <w:szCs w:val="28"/>
          <w:lang w:val="en-US"/>
        </w:rPr>
        <w:t>Keywords:</w:t>
      </w:r>
      <w:r w:rsidRPr="00253AA4">
        <w:rPr>
          <w:rFonts w:ascii="Calibri" w:hAnsi="Calibri" w:cs="Calibri"/>
          <w:b/>
          <w:bCs/>
          <w:sz w:val="22"/>
          <w:szCs w:val="22"/>
          <w:lang w:val="en-US"/>
        </w:rPr>
        <w:t xml:space="preserve"> </w:t>
      </w:r>
      <w:r w:rsidRPr="00253AA4">
        <w:rPr>
          <w:rFonts w:ascii="Calibri" w:hAnsi="Calibri" w:cs="Calibri"/>
          <w:lang w:val="en-US"/>
        </w:rPr>
        <w:t xml:space="preserve">Public policies, </w:t>
      </w:r>
      <w:proofErr w:type="gramStart"/>
      <w:r w:rsidRPr="00253AA4">
        <w:rPr>
          <w:rFonts w:ascii="Calibri" w:hAnsi="Calibri" w:cs="Calibri"/>
          <w:lang w:val="en-US"/>
        </w:rPr>
        <w:t>Right</w:t>
      </w:r>
      <w:proofErr w:type="gramEnd"/>
      <w:r w:rsidRPr="00253AA4">
        <w:rPr>
          <w:rFonts w:ascii="Calibri" w:hAnsi="Calibri" w:cs="Calibri"/>
          <w:lang w:val="en-US"/>
        </w:rPr>
        <w:t xml:space="preserve"> to housing, Welfare state, Housing tenures, Territorial </w:t>
      </w:r>
      <w:r w:rsidRPr="00253AA4">
        <w:rPr>
          <w:rFonts w:ascii="Calibri" w:hAnsi="Calibri" w:cs="Calibri"/>
          <w:lang w:val="en-US"/>
        </w:rPr>
        <w:lastRenderedPageBreak/>
        <w:t>cohesion</w:t>
      </w:r>
    </w:p>
    <w:p w14:paraId="6BAEF29B" w14:textId="77777777" w:rsidR="00C54DD1" w:rsidRDefault="00C54DD1" w:rsidP="00790CFB">
      <w:pPr>
        <w:widowControl w:val="0"/>
        <w:spacing w:line="360" w:lineRule="auto"/>
        <w:rPr>
          <w:rFonts w:ascii="Calibri" w:hAnsi="Calibri" w:cs="Calibri"/>
          <w:b/>
          <w:bCs/>
          <w:sz w:val="22"/>
          <w:szCs w:val="22"/>
          <w:lang w:val="en-US"/>
        </w:rPr>
      </w:pPr>
    </w:p>
    <w:p w14:paraId="716B63AD" w14:textId="659D0A46" w:rsidR="00897825" w:rsidRPr="00897825" w:rsidRDefault="00897825" w:rsidP="00790CFB">
      <w:pPr>
        <w:widowControl w:val="0"/>
        <w:spacing w:line="360" w:lineRule="auto"/>
        <w:rPr>
          <w:rFonts w:ascii="Calibri" w:hAnsi="Calibri" w:cs="Calibri"/>
          <w:b/>
          <w:bCs/>
          <w:sz w:val="28"/>
          <w:szCs w:val="28"/>
          <w:lang w:val="en-US"/>
        </w:rPr>
      </w:pPr>
      <w:proofErr w:type="spellStart"/>
      <w:r w:rsidRPr="00897825">
        <w:rPr>
          <w:rFonts w:ascii="Calibri" w:hAnsi="Calibri" w:cs="Calibri"/>
          <w:b/>
          <w:bCs/>
          <w:sz w:val="28"/>
          <w:szCs w:val="28"/>
          <w:lang w:val="en-US"/>
        </w:rPr>
        <w:t>Resumo</w:t>
      </w:r>
      <w:proofErr w:type="spellEnd"/>
    </w:p>
    <w:p w14:paraId="44F26CA0" w14:textId="4F0CCD7D" w:rsidR="00C9650A" w:rsidRPr="00897825" w:rsidRDefault="00C9650A" w:rsidP="00790CFB">
      <w:pPr>
        <w:widowControl w:val="0"/>
        <w:spacing w:line="360" w:lineRule="auto"/>
        <w:jc w:val="both"/>
        <w:rPr>
          <w:rFonts w:ascii="Calibri" w:hAnsi="Calibri" w:cs="Calibri"/>
          <w:lang w:val="en-US"/>
        </w:rPr>
      </w:pPr>
      <w:r w:rsidRPr="00897825">
        <w:rPr>
          <w:rFonts w:ascii="Calibri" w:hAnsi="Calibri" w:cs="Calibri"/>
          <w:lang w:val="en-US"/>
        </w:rPr>
        <w:t xml:space="preserve">A </w:t>
      </w:r>
      <w:proofErr w:type="spellStart"/>
      <w:r w:rsidRPr="00897825">
        <w:rPr>
          <w:rFonts w:ascii="Calibri" w:hAnsi="Calibri" w:cs="Calibri"/>
          <w:lang w:val="en-US"/>
        </w:rPr>
        <w:t>moradia</w:t>
      </w:r>
      <w:proofErr w:type="spellEnd"/>
      <w:r w:rsidRPr="00897825">
        <w:rPr>
          <w:rFonts w:ascii="Calibri" w:hAnsi="Calibri" w:cs="Calibri"/>
          <w:lang w:val="en-US"/>
        </w:rPr>
        <w:t xml:space="preserve"> é um pilar </w:t>
      </w:r>
      <w:proofErr w:type="spellStart"/>
      <w:r w:rsidRPr="00897825">
        <w:rPr>
          <w:rFonts w:ascii="Calibri" w:hAnsi="Calibri" w:cs="Calibri"/>
          <w:lang w:val="en-US"/>
        </w:rPr>
        <w:t>básico</w:t>
      </w:r>
      <w:proofErr w:type="spellEnd"/>
      <w:r w:rsidRPr="00897825">
        <w:rPr>
          <w:rFonts w:ascii="Calibri" w:hAnsi="Calibri" w:cs="Calibri"/>
          <w:lang w:val="en-US"/>
        </w:rPr>
        <w:t xml:space="preserve"> do </w:t>
      </w:r>
      <w:proofErr w:type="spellStart"/>
      <w:r w:rsidRPr="00897825">
        <w:rPr>
          <w:rFonts w:ascii="Calibri" w:hAnsi="Calibri" w:cs="Calibri"/>
          <w:lang w:val="en-US"/>
        </w:rPr>
        <w:t>sistema</w:t>
      </w:r>
      <w:proofErr w:type="spellEnd"/>
      <w:r w:rsidRPr="00897825">
        <w:rPr>
          <w:rFonts w:ascii="Calibri" w:hAnsi="Calibri" w:cs="Calibri"/>
          <w:lang w:val="en-US"/>
        </w:rPr>
        <w:t xml:space="preserve"> de </w:t>
      </w:r>
      <w:proofErr w:type="spellStart"/>
      <w:r w:rsidRPr="00897825">
        <w:rPr>
          <w:rFonts w:ascii="Calibri" w:hAnsi="Calibri" w:cs="Calibri"/>
          <w:lang w:val="en-US"/>
        </w:rPr>
        <w:t>bem-estar</w:t>
      </w:r>
      <w:proofErr w:type="spellEnd"/>
      <w:r w:rsidRPr="00897825">
        <w:rPr>
          <w:rFonts w:ascii="Calibri" w:hAnsi="Calibri" w:cs="Calibri"/>
          <w:lang w:val="en-US"/>
        </w:rPr>
        <w:t xml:space="preserve"> social, pois é </w:t>
      </w:r>
      <w:proofErr w:type="spellStart"/>
      <w:r w:rsidRPr="00897825">
        <w:rPr>
          <w:rFonts w:ascii="Calibri" w:hAnsi="Calibri" w:cs="Calibri"/>
          <w:lang w:val="en-US"/>
        </w:rPr>
        <w:t>uma</w:t>
      </w:r>
      <w:proofErr w:type="spellEnd"/>
      <w:r w:rsidRPr="00897825">
        <w:rPr>
          <w:rFonts w:ascii="Calibri" w:hAnsi="Calibri" w:cs="Calibri"/>
          <w:lang w:val="en-US"/>
        </w:rPr>
        <w:t xml:space="preserve"> </w:t>
      </w:r>
      <w:proofErr w:type="spellStart"/>
      <w:r w:rsidRPr="00897825">
        <w:rPr>
          <w:rFonts w:ascii="Calibri" w:hAnsi="Calibri" w:cs="Calibri"/>
          <w:lang w:val="en-US"/>
        </w:rPr>
        <w:t>condição</w:t>
      </w:r>
      <w:proofErr w:type="spellEnd"/>
      <w:r w:rsidRPr="00897825">
        <w:rPr>
          <w:rFonts w:ascii="Calibri" w:hAnsi="Calibri" w:cs="Calibri"/>
          <w:lang w:val="en-US"/>
        </w:rPr>
        <w:t xml:space="preserve"> </w:t>
      </w:r>
      <w:proofErr w:type="spellStart"/>
      <w:r w:rsidRPr="00897825">
        <w:rPr>
          <w:rFonts w:ascii="Calibri" w:hAnsi="Calibri" w:cs="Calibri"/>
          <w:lang w:val="en-US"/>
        </w:rPr>
        <w:t>necessária</w:t>
      </w:r>
      <w:proofErr w:type="spellEnd"/>
      <w:r w:rsidRPr="00897825">
        <w:rPr>
          <w:rFonts w:ascii="Calibri" w:hAnsi="Calibri" w:cs="Calibri"/>
          <w:lang w:val="en-US"/>
        </w:rPr>
        <w:t xml:space="preserve"> para o </w:t>
      </w:r>
      <w:proofErr w:type="spellStart"/>
      <w:r w:rsidRPr="00897825">
        <w:rPr>
          <w:rFonts w:ascii="Calibri" w:hAnsi="Calibri" w:cs="Calibri"/>
          <w:lang w:val="en-US"/>
        </w:rPr>
        <w:t>desenvolvimento</w:t>
      </w:r>
      <w:proofErr w:type="spellEnd"/>
      <w:r w:rsidRPr="00897825">
        <w:rPr>
          <w:rFonts w:ascii="Calibri" w:hAnsi="Calibri" w:cs="Calibri"/>
          <w:lang w:val="en-US"/>
        </w:rPr>
        <w:t xml:space="preserve"> de outros </w:t>
      </w:r>
      <w:proofErr w:type="spellStart"/>
      <w:r w:rsidRPr="00897825">
        <w:rPr>
          <w:rFonts w:ascii="Calibri" w:hAnsi="Calibri" w:cs="Calibri"/>
          <w:lang w:val="en-US"/>
        </w:rPr>
        <w:t>direitos</w:t>
      </w:r>
      <w:proofErr w:type="spellEnd"/>
      <w:r w:rsidRPr="00897825">
        <w:rPr>
          <w:rFonts w:ascii="Calibri" w:hAnsi="Calibri" w:cs="Calibri"/>
          <w:lang w:val="en-US"/>
        </w:rPr>
        <w:t xml:space="preserve"> </w:t>
      </w:r>
      <w:proofErr w:type="spellStart"/>
      <w:r w:rsidRPr="00897825">
        <w:rPr>
          <w:rFonts w:ascii="Calibri" w:hAnsi="Calibri" w:cs="Calibri"/>
          <w:lang w:val="en-US"/>
        </w:rPr>
        <w:t>fundamentais</w:t>
      </w:r>
      <w:proofErr w:type="spellEnd"/>
      <w:r w:rsidRPr="00897825">
        <w:rPr>
          <w:rFonts w:ascii="Calibri" w:hAnsi="Calibri" w:cs="Calibri"/>
          <w:lang w:val="en-US"/>
        </w:rPr>
        <w:t xml:space="preserve">, </w:t>
      </w:r>
      <w:proofErr w:type="spellStart"/>
      <w:r w:rsidRPr="00897825">
        <w:rPr>
          <w:rFonts w:ascii="Calibri" w:hAnsi="Calibri" w:cs="Calibri"/>
          <w:lang w:val="en-US"/>
        </w:rPr>
        <w:t>como</w:t>
      </w:r>
      <w:proofErr w:type="spellEnd"/>
      <w:r w:rsidRPr="00897825">
        <w:rPr>
          <w:rFonts w:ascii="Calibri" w:hAnsi="Calibri" w:cs="Calibri"/>
          <w:lang w:val="en-US"/>
        </w:rPr>
        <w:t xml:space="preserve"> </w:t>
      </w:r>
      <w:proofErr w:type="spellStart"/>
      <w:r w:rsidRPr="00897825">
        <w:rPr>
          <w:rFonts w:ascii="Calibri" w:hAnsi="Calibri" w:cs="Calibri"/>
          <w:lang w:val="en-US"/>
        </w:rPr>
        <w:t>privacidade</w:t>
      </w:r>
      <w:proofErr w:type="spellEnd"/>
      <w:r w:rsidRPr="00897825">
        <w:rPr>
          <w:rFonts w:ascii="Calibri" w:hAnsi="Calibri" w:cs="Calibri"/>
          <w:lang w:val="en-US"/>
        </w:rPr>
        <w:t xml:space="preserve">, </w:t>
      </w:r>
      <w:proofErr w:type="spellStart"/>
      <w:r w:rsidRPr="00897825">
        <w:rPr>
          <w:rFonts w:ascii="Calibri" w:hAnsi="Calibri" w:cs="Calibri"/>
          <w:lang w:val="en-US"/>
        </w:rPr>
        <w:t>educação</w:t>
      </w:r>
      <w:proofErr w:type="spellEnd"/>
      <w:r w:rsidRPr="00897825">
        <w:rPr>
          <w:rFonts w:ascii="Calibri" w:hAnsi="Calibri" w:cs="Calibri"/>
          <w:lang w:val="en-US"/>
        </w:rPr>
        <w:t xml:space="preserve">, </w:t>
      </w:r>
      <w:proofErr w:type="spellStart"/>
      <w:r w:rsidRPr="00897825">
        <w:rPr>
          <w:rFonts w:ascii="Calibri" w:hAnsi="Calibri" w:cs="Calibri"/>
          <w:lang w:val="en-US"/>
        </w:rPr>
        <w:t>dignidade</w:t>
      </w:r>
      <w:proofErr w:type="spellEnd"/>
      <w:r w:rsidRPr="00897825">
        <w:rPr>
          <w:rFonts w:ascii="Calibri" w:hAnsi="Calibri" w:cs="Calibri"/>
          <w:lang w:val="en-US"/>
        </w:rPr>
        <w:t xml:space="preserve"> </w:t>
      </w:r>
      <w:proofErr w:type="spellStart"/>
      <w:r w:rsidRPr="00897825">
        <w:rPr>
          <w:rFonts w:ascii="Calibri" w:hAnsi="Calibri" w:cs="Calibri"/>
          <w:lang w:val="en-US"/>
        </w:rPr>
        <w:t>humana</w:t>
      </w:r>
      <w:proofErr w:type="spellEnd"/>
      <w:r w:rsidRPr="00897825">
        <w:rPr>
          <w:rFonts w:ascii="Calibri" w:hAnsi="Calibri" w:cs="Calibri"/>
          <w:lang w:val="en-US"/>
        </w:rPr>
        <w:t xml:space="preserve"> e </w:t>
      </w:r>
      <w:proofErr w:type="spellStart"/>
      <w:r w:rsidRPr="00897825">
        <w:rPr>
          <w:rFonts w:ascii="Calibri" w:hAnsi="Calibri" w:cs="Calibri"/>
          <w:lang w:val="en-US"/>
        </w:rPr>
        <w:t>saúde</w:t>
      </w:r>
      <w:proofErr w:type="spellEnd"/>
      <w:r w:rsidRPr="00897825">
        <w:rPr>
          <w:rFonts w:ascii="Calibri" w:hAnsi="Calibri" w:cs="Calibri"/>
          <w:lang w:val="en-US"/>
        </w:rPr>
        <w:t xml:space="preserve">. A crise </w:t>
      </w:r>
      <w:proofErr w:type="spellStart"/>
      <w:r w:rsidRPr="00897825">
        <w:rPr>
          <w:rFonts w:ascii="Calibri" w:hAnsi="Calibri" w:cs="Calibri"/>
          <w:lang w:val="en-US"/>
        </w:rPr>
        <w:t>financeira</w:t>
      </w:r>
      <w:proofErr w:type="spellEnd"/>
      <w:r w:rsidRPr="00897825">
        <w:rPr>
          <w:rFonts w:ascii="Calibri" w:hAnsi="Calibri" w:cs="Calibri"/>
          <w:lang w:val="en-US"/>
        </w:rPr>
        <w:t xml:space="preserve"> global de 2007 continua a </w:t>
      </w:r>
      <w:proofErr w:type="spellStart"/>
      <w:r w:rsidRPr="00897825">
        <w:rPr>
          <w:rFonts w:ascii="Calibri" w:hAnsi="Calibri" w:cs="Calibri"/>
          <w:lang w:val="en-US"/>
        </w:rPr>
        <w:t>ter</w:t>
      </w:r>
      <w:proofErr w:type="spellEnd"/>
      <w:r w:rsidRPr="00897825">
        <w:rPr>
          <w:rFonts w:ascii="Calibri" w:hAnsi="Calibri" w:cs="Calibri"/>
          <w:lang w:val="en-US"/>
        </w:rPr>
        <w:t xml:space="preserve"> um </w:t>
      </w:r>
      <w:proofErr w:type="spellStart"/>
      <w:r w:rsidRPr="00897825">
        <w:rPr>
          <w:rFonts w:ascii="Calibri" w:hAnsi="Calibri" w:cs="Calibri"/>
          <w:lang w:val="en-US"/>
        </w:rPr>
        <w:t>impacto</w:t>
      </w:r>
      <w:proofErr w:type="spellEnd"/>
      <w:r w:rsidRPr="00897825">
        <w:rPr>
          <w:rFonts w:ascii="Calibri" w:hAnsi="Calibri" w:cs="Calibri"/>
          <w:lang w:val="en-US"/>
        </w:rPr>
        <w:t xml:space="preserve"> </w:t>
      </w:r>
      <w:proofErr w:type="spellStart"/>
      <w:r w:rsidRPr="00897825">
        <w:rPr>
          <w:rFonts w:ascii="Calibri" w:hAnsi="Calibri" w:cs="Calibri"/>
          <w:lang w:val="en-US"/>
        </w:rPr>
        <w:t>sério</w:t>
      </w:r>
      <w:proofErr w:type="spellEnd"/>
      <w:r w:rsidRPr="00897825">
        <w:rPr>
          <w:rFonts w:ascii="Calibri" w:hAnsi="Calibri" w:cs="Calibri"/>
          <w:lang w:val="en-US"/>
        </w:rPr>
        <w:t xml:space="preserve"> </w:t>
      </w:r>
      <w:proofErr w:type="spellStart"/>
      <w:r w:rsidRPr="00897825">
        <w:rPr>
          <w:rFonts w:ascii="Calibri" w:hAnsi="Calibri" w:cs="Calibri"/>
          <w:lang w:val="en-US"/>
        </w:rPr>
        <w:t>sobre</w:t>
      </w:r>
      <w:proofErr w:type="spellEnd"/>
      <w:r w:rsidRPr="00897825">
        <w:rPr>
          <w:rFonts w:ascii="Calibri" w:hAnsi="Calibri" w:cs="Calibri"/>
          <w:lang w:val="en-US"/>
        </w:rPr>
        <w:t xml:space="preserve"> </w:t>
      </w:r>
      <w:proofErr w:type="spellStart"/>
      <w:r w:rsidRPr="00897825">
        <w:rPr>
          <w:rFonts w:ascii="Calibri" w:hAnsi="Calibri" w:cs="Calibri"/>
          <w:lang w:val="en-US"/>
        </w:rPr>
        <w:t>os</w:t>
      </w:r>
      <w:proofErr w:type="spellEnd"/>
      <w:r w:rsidRPr="00897825">
        <w:rPr>
          <w:rFonts w:ascii="Calibri" w:hAnsi="Calibri" w:cs="Calibri"/>
          <w:lang w:val="en-US"/>
        </w:rPr>
        <w:t xml:space="preserve"> </w:t>
      </w:r>
      <w:proofErr w:type="spellStart"/>
      <w:r w:rsidRPr="00897825">
        <w:rPr>
          <w:rFonts w:ascii="Calibri" w:hAnsi="Calibri" w:cs="Calibri"/>
          <w:lang w:val="en-US"/>
        </w:rPr>
        <w:t>cidadãos</w:t>
      </w:r>
      <w:proofErr w:type="spellEnd"/>
      <w:r w:rsidRPr="00897825">
        <w:rPr>
          <w:rFonts w:ascii="Calibri" w:hAnsi="Calibri" w:cs="Calibri"/>
          <w:lang w:val="en-US"/>
        </w:rPr>
        <w:t xml:space="preserve"> do </w:t>
      </w:r>
      <w:proofErr w:type="spellStart"/>
      <w:r w:rsidRPr="00897825">
        <w:rPr>
          <w:rFonts w:ascii="Calibri" w:hAnsi="Calibri" w:cs="Calibri"/>
          <w:lang w:val="en-US"/>
        </w:rPr>
        <w:t>nosso</w:t>
      </w:r>
      <w:proofErr w:type="spellEnd"/>
      <w:r w:rsidRPr="00897825">
        <w:rPr>
          <w:rFonts w:ascii="Calibri" w:hAnsi="Calibri" w:cs="Calibri"/>
          <w:lang w:val="en-US"/>
        </w:rPr>
        <w:t xml:space="preserve"> </w:t>
      </w:r>
      <w:proofErr w:type="spellStart"/>
      <w:r w:rsidRPr="00897825">
        <w:rPr>
          <w:rFonts w:ascii="Calibri" w:hAnsi="Calibri" w:cs="Calibri"/>
          <w:lang w:val="en-US"/>
        </w:rPr>
        <w:t>país</w:t>
      </w:r>
      <w:proofErr w:type="spellEnd"/>
      <w:r w:rsidRPr="00897825">
        <w:rPr>
          <w:rFonts w:ascii="Calibri" w:hAnsi="Calibri" w:cs="Calibri"/>
          <w:lang w:val="en-US"/>
        </w:rPr>
        <w:t xml:space="preserve">, que agora é </w:t>
      </w:r>
      <w:proofErr w:type="spellStart"/>
      <w:r w:rsidRPr="00897825">
        <w:rPr>
          <w:rFonts w:ascii="Calibri" w:hAnsi="Calibri" w:cs="Calibri"/>
          <w:lang w:val="en-US"/>
        </w:rPr>
        <w:t>agravado</w:t>
      </w:r>
      <w:proofErr w:type="spellEnd"/>
      <w:r w:rsidRPr="00897825">
        <w:rPr>
          <w:rFonts w:ascii="Calibri" w:hAnsi="Calibri" w:cs="Calibri"/>
          <w:lang w:val="en-US"/>
        </w:rPr>
        <w:t xml:space="preserve"> </w:t>
      </w:r>
      <w:proofErr w:type="spellStart"/>
      <w:r w:rsidRPr="00897825">
        <w:rPr>
          <w:rFonts w:ascii="Calibri" w:hAnsi="Calibri" w:cs="Calibri"/>
          <w:lang w:val="en-US"/>
        </w:rPr>
        <w:t>pelos</w:t>
      </w:r>
      <w:proofErr w:type="spellEnd"/>
      <w:r w:rsidRPr="00897825">
        <w:rPr>
          <w:rFonts w:ascii="Calibri" w:hAnsi="Calibri" w:cs="Calibri"/>
          <w:lang w:val="en-US"/>
        </w:rPr>
        <w:t xml:space="preserve"> </w:t>
      </w:r>
      <w:proofErr w:type="spellStart"/>
      <w:r w:rsidRPr="00897825">
        <w:rPr>
          <w:rFonts w:ascii="Calibri" w:hAnsi="Calibri" w:cs="Calibri"/>
          <w:lang w:val="en-US"/>
        </w:rPr>
        <w:t>efeitos</w:t>
      </w:r>
      <w:proofErr w:type="spellEnd"/>
      <w:r w:rsidRPr="00897825">
        <w:rPr>
          <w:rFonts w:ascii="Calibri" w:hAnsi="Calibri" w:cs="Calibri"/>
          <w:lang w:val="en-US"/>
        </w:rPr>
        <w:t xml:space="preserve"> das crises </w:t>
      </w:r>
      <w:proofErr w:type="spellStart"/>
      <w:r w:rsidRPr="00897825">
        <w:rPr>
          <w:rFonts w:ascii="Calibri" w:hAnsi="Calibri" w:cs="Calibri"/>
          <w:lang w:val="en-US"/>
        </w:rPr>
        <w:t>decorrentes</w:t>
      </w:r>
      <w:proofErr w:type="spellEnd"/>
      <w:r w:rsidRPr="00897825">
        <w:rPr>
          <w:rFonts w:ascii="Calibri" w:hAnsi="Calibri" w:cs="Calibri"/>
          <w:lang w:val="en-US"/>
        </w:rPr>
        <w:t xml:space="preserve"> da COVID-19 (2020-2021) e da </w:t>
      </w:r>
      <w:proofErr w:type="spellStart"/>
      <w:r w:rsidRPr="00897825">
        <w:rPr>
          <w:rFonts w:ascii="Calibri" w:hAnsi="Calibri" w:cs="Calibri"/>
          <w:lang w:val="en-US"/>
        </w:rPr>
        <w:t>inflação</w:t>
      </w:r>
      <w:proofErr w:type="spellEnd"/>
      <w:r w:rsidRPr="00897825">
        <w:rPr>
          <w:rFonts w:ascii="Calibri" w:hAnsi="Calibri" w:cs="Calibri"/>
          <w:lang w:val="en-US"/>
        </w:rPr>
        <w:t xml:space="preserve"> (2022). De </w:t>
      </w:r>
      <w:proofErr w:type="spellStart"/>
      <w:r w:rsidRPr="00897825">
        <w:rPr>
          <w:rFonts w:ascii="Calibri" w:hAnsi="Calibri" w:cs="Calibri"/>
          <w:lang w:val="en-US"/>
        </w:rPr>
        <w:t>fato</w:t>
      </w:r>
      <w:proofErr w:type="spellEnd"/>
      <w:r w:rsidRPr="00897825">
        <w:rPr>
          <w:rFonts w:ascii="Calibri" w:hAnsi="Calibri" w:cs="Calibri"/>
          <w:lang w:val="en-US"/>
        </w:rPr>
        <w:t xml:space="preserve">, o </w:t>
      </w:r>
      <w:proofErr w:type="spellStart"/>
      <w:r w:rsidRPr="00897825">
        <w:rPr>
          <w:rFonts w:ascii="Calibri" w:hAnsi="Calibri" w:cs="Calibri"/>
          <w:lang w:val="en-US"/>
        </w:rPr>
        <w:t>processo</w:t>
      </w:r>
      <w:proofErr w:type="spellEnd"/>
      <w:r w:rsidRPr="00897825">
        <w:rPr>
          <w:rFonts w:ascii="Calibri" w:hAnsi="Calibri" w:cs="Calibri"/>
          <w:lang w:val="en-US"/>
        </w:rPr>
        <w:t xml:space="preserve"> de </w:t>
      </w:r>
      <w:proofErr w:type="spellStart"/>
      <w:r w:rsidRPr="00897825">
        <w:rPr>
          <w:rFonts w:ascii="Calibri" w:hAnsi="Calibri" w:cs="Calibri"/>
          <w:lang w:val="en-US"/>
        </w:rPr>
        <w:t>urbanização</w:t>
      </w:r>
      <w:proofErr w:type="spellEnd"/>
      <w:r w:rsidRPr="00897825">
        <w:rPr>
          <w:rFonts w:ascii="Calibri" w:hAnsi="Calibri" w:cs="Calibri"/>
          <w:lang w:val="en-US"/>
        </w:rPr>
        <w:t xml:space="preserve"> </w:t>
      </w:r>
      <w:proofErr w:type="spellStart"/>
      <w:r w:rsidRPr="00897825">
        <w:rPr>
          <w:rFonts w:ascii="Calibri" w:hAnsi="Calibri" w:cs="Calibri"/>
          <w:lang w:val="en-US"/>
        </w:rPr>
        <w:t>em</w:t>
      </w:r>
      <w:proofErr w:type="spellEnd"/>
      <w:r w:rsidRPr="00897825">
        <w:rPr>
          <w:rFonts w:ascii="Calibri" w:hAnsi="Calibri" w:cs="Calibri"/>
          <w:lang w:val="en-US"/>
        </w:rPr>
        <w:t xml:space="preserve"> </w:t>
      </w:r>
      <w:proofErr w:type="spellStart"/>
      <w:r w:rsidRPr="00897825">
        <w:rPr>
          <w:rFonts w:ascii="Calibri" w:hAnsi="Calibri" w:cs="Calibri"/>
          <w:lang w:val="en-US"/>
        </w:rPr>
        <w:t>curso</w:t>
      </w:r>
      <w:proofErr w:type="spellEnd"/>
      <w:r w:rsidRPr="00897825">
        <w:rPr>
          <w:rFonts w:ascii="Calibri" w:hAnsi="Calibri" w:cs="Calibri"/>
          <w:lang w:val="en-US"/>
        </w:rPr>
        <w:t xml:space="preserve">, </w:t>
      </w:r>
      <w:proofErr w:type="spellStart"/>
      <w:r w:rsidRPr="00897825">
        <w:rPr>
          <w:rFonts w:ascii="Calibri" w:hAnsi="Calibri" w:cs="Calibri"/>
          <w:lang w:val="en-US"/>
        </w:rPr>
        <w:t>somado</w:t>
      </w:r>
      <w:proofErr w:type="spellEnd"/>
      <w:r w:rsidRPr="00897825">
        <w:rPr>
          <w:rFonts w:ascii="Calibri" w:hAnsi="Calibri" w:cs="Calibri"/>
          <w:lang w:val="en-US"/>
        </w:rPr>
        <w:t xml:space="preserve"> </w:t>
      </w:r>
      <w:proofErr w:type="spellStart"/>
      <w:r w:rsidRPr="00897825">
        <w:rPr>
          <w:rFonts w:ascii="Calibri" w:hAnsi="Calibri" w:cs="Calibri"/>
          <w:lang w:val="en-US"/>
        </w:rPr>
        <w:t>ao</w:t>
      </w:r>
      <w:proofErr w:type="spellEnd"/>
      <w:r w:rsidRPr="00897825">
        <w:rPr>
          <w:rFonts w:ascii="Calibri" w:hAnsi="Calibri" w:cs="Calibri"/>
          <w:lang w:val="en-US"/>
        </w:rPr>
        <w:t xml:space="preserve"> </w:t>
      </w:r>
      <w:proofErr w:type="spellStart"/>
      <w:r w:rsidRPr="00897825">
        <w:rPr>
          <w:rFonts w:ascii="Calibri" w:hAnsi="Calibri" w:cs="Calibri"/>
          <w:lang w:val="en-US"/>
        </w:rPr>
        <w:t>esgotamento</w:t>
      </w:r>
      <w:proofErr w:type="spellEnd"/>
      <w:r w:rsidRPr="00897825">
        <w:rPr>
          <w:rFonts w:ascii="Calibri" w:hAnsi="Calibri" w:cs="Calibri"/>
          <w:lang w:val="en-US"/>
        </w:rPr>
        <w:t xml:space="preserve"> das </w:t>
      </w:r>
      <w:proofErr w:type="spellStart"/>
      <w:r w:rsidRPr="00897825">
        <w:rPr>
          <w:rFonts w:ascii="Calibri" w:hAnsi="Calibri" w:cs="Calibri"/>
          <w:lang w:val="en-US"/>
        </w:rPr>
        <w:t>áreas</w:t>
      </w:r>
      <w:proofErr w:type="spellEnd"/>
      <w:r w:rsidRPr="00897825">
        <w:rPr>
          <w:rFonts w:ascii="Calibri" w:hAnsi="Calibri" w:cs="Calibri"/>
          <w:lang w:val="en-US"/>
        </w:rPr>
        <w:t xml:space="preserve"> </w:t>
      </w:r>
      <w:proofErr w:type="spellStart"/>
      <w:r w:rsidRPr="00897825">
        <w:rPr>
          <w:rFonts w:ascii="Calibri" w:hAnsi="Calibri" w:cs="Calibri"/>
          <w:lang w:val="en-US"/>
        </w:rPr>
        <w:t>rurais</w:t>
      </w:r>
      <w:proofErr w:type="spellEnd"/>
      <w:r w:rsidRPr="00897825">
        <w:rPr>
          <w:rFonts w:ascii="Calibri" w:hAnsi="Calibri" w:cs="Calibri"/>
          <w:lang w:val="en-US"/>
        </w:rPr>
        <w:t xml:space="preserve"> e à </w:t>
      </w:r>
      <w:proofErr w:type="spellStart"/>
      <w:r w:rsidRPr="00897825">
        <w:rPr>
          <w:rFonts w:ascii="Calibri" w:hAnsi="Calibri" w:cs="Calibri"/>
          <w:lang w:val="en-US"/>
        </w:rPr>
        <w:t>crescente</w:t>
      </w:r>
      <w:proofErr w:type="spellEnd"/>
      <w:r w:rsidRPr="00897825">
        <w:rPr>
          <w:rFonts w:ascii="Calibri" w:hAnsi="Calibri" w:cs="Calibri"/>
          <w:lang w:val="en-US"/>
        </w:rPr>
        <w:t xml:space="preserve"> </w:t>
      </w:r>
      <w:proofErr w:type="spellStart"/>
      <w:r w:rsidRPr="00897825">
        <w:rPr>
          <w:rFonts w:ascii="Calibri" w:hAnsi="Calibri" w:cs="Calibri"/>
          <w:lang w:val="en-US"/>
        </w:rPr>
        <w:t>falta</w:t>
      </w:r>
      <w:proofErr w:type="spellEnd"/>
      <w:r w:rsidRPr="00897825">
        <w:rPr>
          <w:rFonts w:ascii="Calibri" w:hAnsi="Calibri" w:cs="Calibri"/>
          <w:lang w:val="en-US"/>
        </w:rPr>
        <w:t xml:space="preserve"> de </w:t>
      </w:r>
      <w:proofErr w:type="spellStart"/>
      <w:r w:rsidRPr="00897825">
        <w:rPr>
          <w:rFonts w:ascii="Calibri" w:hAnsi="Calibri" w:cs="Calibri"/>
          <w:lang w:val="en-US"/>
        </w:rPr>
        <w:t>moradias</w:t>
      </w:r>
      <w:proofErr w:type="spellEnd"/>
      <w:r w:rsidRPr="00897825">
        <w:rPr>
          <w:rFonts w:ascii="Calibri" w:hAnsi="Calibri" w:cs="Calibri"/>
          <w:lang w:val="en-US"/>
        </w:rPr>
        <w:t xml:space="preserve"> </w:t>
      </w:r>
      <w:proofErr w:type="spellStart"/>
      <w:r w:rsidRPr="00897825">
        <w:rPr>
          <w:rFonts w:ascii="Calibri" w:hAnsi="Calibri" w:cs="Calibri"/>
          <w:lang w:val="en-US"/>
        </w:rPr>
        <w:t>sociais</w:t>
      </w:r>
      <w:proofErr w:type="spellEnd"/>
      <w:r w:rsidRPr="00897825">
        <w:rPr>
          <w:rFonts w:ascii="Calibri" w:hAnsi="Calibri" w:cs="Calibri"/>
          <w:lang w:val="en-US"/>
        </w:rPr>
        <w:t xml:space="preserve">, </w:t>
      </w:r>
      <w:proofErr w:type="spellStart"/>
      <w:r w:rsidRPr="00897825">
        <w:rPr>
          <w:rFonts w:ascii="Calibri" w:hAnsi="Calibri" w:cs="Calibri"/>
          <w:lang w:val="en-US"/>
        </w:rPr>
        <w:t>tem</w:t>
      </w:r>
      <w:proofErr w:type="spellEnd"/>
      <w:r w:rsidRPr="00897825">
        <w:rPr>
          <w:rFonts w:ascii="Calibri" w:hAnsi="Calibri" w:cs="Calibri"/>
          <w:lang w:val="en-US"/>
        </w:rPr>
        <w:t xml:space="preserve"> </w:t>
      </w:r>
      <w:proofErr w:type="spellStart"/>
      <w:r w:rsidRPr="00897825">
        <w:rPr>
          <w:rFonts w:ascii="Calibri" w:hAnsi="Calibri" w:cs="Calibri"/>
          <w:lang w:val="en-US"/>
        </w:rPr>
        <w:t>contribuído</w:t>
      </w:r>
      <w:proofErr w:type="spellEnd"/>
      <w:r w:rsidRPr="00897825">
        <w:rPr>
          <w:rFonts w:ascii="Calibri" w:hAnsi="Calibri" w:cs="Calibri"/>
          <w:lang w:val="en-US"/>
        </w:rPr>
        <w:t xml:space="preserve"> para </w:t>
      </w:r>
      <w:proofErr w:type="spellStart"/>
      <w:r w:rsidRPr="00897825">
        <w:rPr>
          <w:rFonts w:ascii="Calibri" w:hAnsi="Calibri" w:cs="Calibri"/>
          <w:lang w:val="en-US"/>
        </w:rPr>
        <w:t>tornar</w:t>
      </w:r>
      <w:proofErr w:type="spellEnd"/>
      <w:r w:rsidRPr="00897825">
        <w:rPr>
          <w:rFonts w:ascii="Calibri" w:hAnsi="Calibri" w:cs="Calibri"/>
          <w:lang w:val="en-US"/>
        </w:rPr>
        <w:t xml:space="preserve"> a </w:t>
      </w:r>
      <w:proofErr w:type="spellStart"/>
      <w:r w:rsidRPr="00897825">
        <w:rPr>
          <w:rFonts w:ascii="Calibri" w:hAnsi="Calibri" w:cs="Calibri"/>
          <w:lang w:val="en-US"/>
        </w:rPr>
        <w:t>moradia</w:t>
      </w:r>
      <w:proofErr w:type="spellEnd"/>
      <w:r w:rsidRPr="00897825">
        <w:rPr>
          <w:rFonts w:ascii="Calibri" w:hAnsi="Calibri" w:cs="Calibri"/>
          <w:lang w:val="en-US"/>
        </w:rPr>
        <w:t xml:space="preserve"> </w:t>
      </w:r>
      <w:proofErr w:type="spellStart"/>
      <w:r w:rsidRPr="00897825">
        <w:rPr>
          <w:rFonts w:ascii="Calibri" w:hAnsi="Calibri" w:cs="Calibri"/>
          <w:lang w:val="en-US"/>
        </w:rPr>
        <w:t>inacessível</w:t>
      </w:r>
      <w:proofErr w:type="spellEnd"/>
      <w:r w:rsidRPr="00897825">
        <w:rPr>
          <w:rFonts w:ascii="Calibri" w:hAnsi="Calibri" w:cs="Calibri"/>
          <w:lang w:val="en-US"/>
        </w:rPr>
        <w:t xml:space="preserve"> </w:t>
      </w:r>
      <w:proofErr w:type="spellStart"/>
      <w:r w:rsidRPr="00897825">
        <w:rPr>
          <w:rFonts w:ascii="Calibri" w:hAnsi="Calibri" w:cs="Calibri"/>
          <w:lang w:val="en-US"/>
        </w:rPr>
        <w:t>nas</w:t>
      </w:r>
      <w:proofErr w:type="spellEnd"/>
      <w:r w:rsidRPr="00897825">
        <w:rPr>
          <w:rFonts w:ascii="Calibri" w:hAnsi="Calibri" w:cs="Calibri"/>
          <w:lang w:val="en-US"/>
        </w:rPr>
        <w:t xml:space="preserve"> </w:t>
      </w:r>
      <w:proofErr w:type="spellStart"/>
      <w:r w:rsidRPr="00897825">
        <w:rPr>
          <w:rFonts w:ascii="Calibri" w:hAnsi="Calibri" w:cs="Calibri"/>
          <w:lang w:val="en-US"/>
        </w:rPr>
        <w:t>principais</w:t>
      </w:r>
      <w:proofErr w:type="spellEnd"/>
      <w:r w:rsidRPr="00897825">
        <w:rPr>
          <w:rFonts w:ascii="Calibri" w:hAnsi="Calibri" w:cs="Calibri"/>
          <w:lang w:val="en-US"/>
        </w:rPr>
        <w:t xml:space="preserve"> </w:t>
      </w:r>
      <w:proofErr w:type="spellStart"/>
      <w:r w:rsidRPr="00897825">
        <w:rPr>
          <w:rFonts w:ascii="Calibri" w:hAnsi="Calibri" w:cs="Calibri"/>
          <w:lang w:val="en-US"/>
        </w:rPr>
        <w:t>áreas</w:t>
      </w:r>
      <w:proofErr w:type="spellEnd"/>
      <w:r w:rsidRPr="00897825">
        <w:rPr>
          <w:rFonts w:ascii="Calibri" w:hAnsi="Calibri" w:cs="Calibri"/>
          <w:lang w:val="en-US"/>
        </w:rPr>
        <w:t xml:space="preserve"> </w:t>
      </w:r>
      <w:proofErr w:type="spellStart"/>
      <w:r w:rsidRPr="00897825">
        <w:rPr>
          <w:rFonts w:ascii="Calibri" w:hAnsi="Calibri" w:cs="Calibri"/>
          <w:lang w:val="en-US"/>
        </w:rPr>
        <w:t>urbanas</w:t>
      </w:r>
      <w:proofErr w:type="spellEnd"/>
      <w:r w:rsidRPr="00897825">
        <w:rPr>
          <w:rFonts w:ascii="Calibri" w:hAnsi="Calibri" w:cs="Calibri"/>
          <w:lang w:val="en-US"/>
        </w:rPr>
        <w:t xml:space="preserve"> do </w:t>
      </w:r>
      <w:proofErr w:type="spellStart"/>
      <w:r w:rsidRPr="00897825">
        <w:rPr>
          <w:rFonts w:ascii="Calibri" w:hAnsi="Calibri" w:cs="Calibri"/>
          <w:lang w:val="en-US"/>
        </w:rPr>
        <w:t>nosso</w:t>
      </w:r>
      <w:proofErr w:type="spellEnd"/>
      <w:r w:rsidRPr="00897825">
        <w:rPr>
          <w:rFonts w:ascii="Calibri" w:hAnsi="Calibri" w:cs="Calibri"/>
          <w:lang w:val="en-US"/>
        </w:rPr>
        <w:t xml:space="preserve"> </w:t>
      </w:r>
      <w:proofErr w:type="spellStart"/>
      <w:r w:rsidRPr="00897825">
        <w:rPr>
          <w:rFonts w:ascii="Calibri" w:hAnsi="Calibri" w:cs="Calibri"/>
          <w:lang w:val="en-US"/>
        </w:rPr>
        <w:t>país</w:t>
      </w:r>
      <w:proofErr w:type="spellEnd"/>
      <w:r w:rsidRPr="00897825">
        <w:rPr>
          <w:rFonts w:ascii="Calibri" w:hAnsi="Calibri" w:cs="Calibri"/>
          <w:lang w:val="en-US"/>
        </w:rPr>
        <w:t xml:space="preserve"> para </w:t>
      </w:r>
      <w:proofErr w:type="spellStart"/>
      <w:r w:rsidRPr="00897825">
        <w:rPr>
          <w:rFonts w:ascii="Calibri" w:hAnsi="Calibri" w:cs="Calibri"/>
          <w:lang w:val="en-US"/>
        </w:rPr>
        <w:t>famílias</w:t>
      </w:r>
      <w:proofErr w:type="spellEnd"/>
      <w:r w:rsidRPr="00897825">
        <w:rPr>
          <w:rFonts w:ascii="Calibri" w:hAnsi="Calibri" w:cs="Calibri"/>
          <w:lang w:val="en-US"/>
        </w:rPr>
        <w:t xml:space="preserve"> com </w:t>
      </w:r>
      <w:proofErr w:type="spellStart"/>
      <w:r w:rsidRPr="00897825">
        <w:rPr>
          <w:rFonts w:ascii="Calibri" w:hAnsi="Calibri" w:cs="Calibri"/>
          <w:lang w:val="en-US"/>
        </w:rPr>
        <w:t>menor</w:t>
      </w:r>
      <w:proofErr w:type="spellEnd"/>
      <w:r w:rsidRPr="00897825">
        <w:rPr>
          <w:rFonts w:ascii="Calibri" w:hAnsi="Calibri" w:cs="Calibri"/>
          <w:lang w:val="en-US"/>
        </w:rPr>
        <w:t xml:space="preserve"> </w:t>
      </w:r>
      <w:proofErr w:type="spellStart"/>
      <w:r w:rsidRPr="00897825">
        <w:rPr>
          <w:rFonts w:ascii="Calibri" w:hAnsi="Calibri" w:cs="Calibri"/>
          <w:lang w:val="en-US"/>
        </w:rPr>
        <w:t>poder</w:t>
      </w:r>
      <w:proofErr w:type="spellEnd"/>
      <w:r w:rsidRPr="00897825">
        <w:rPr>
          <w:rFonts w:ascii="Calibri" w:hAnsi="Calibri" w:cs="Calibri"/>
          <w:lang w:val="en-US"/>
        </w:rPr>
        <w:t xml:space="preserve"> </w:t>
      </w:r>
      <w:proofErr w:type="spellStart"/>
      <w:r w:rsidRPr="00897825">
        <w:rPr>
          <w:rFonts w:ascii="Calibri" w:hAnsi="Calibri" w:cs="Calibri"/>
          <w:lang w:val="en-US"/>
        </w:rPr>
        <w:t>aquisitivo</w:t>
      </w:r>
      <w:proofErr w:type="spellEnd"/>
      <w:r w:rsidRPr="00897825">
        <w:rPr>
          <w:rFonts w:ascii="Calibri" w:hAnsi="Calibri" w:cs="Calibri"/>
          <w:lang w:val="en-US"/>
        </w:rPr>
        <w:t xml:space="preserve">. No </w:t>
      </w:r>
      <w:proofErr w:type="spellStart"/>
      <w:r w:rsidRPr="00897825">
        <w:rPr>
          <w:rFonts w:ascii="Calibri" w:hAnsi="Calibri" w:cs="Calibri"/>
          <w:lang w:val="en-US"/>
        </w:rPr>
        <w:t>entanto</w:t>
      </w:r>
      <w:proofErr w:type="spellEnd"/>
      <w:r w:rsidRPr="00897825">
        <w:rPr>
          <w:rFonts w:ascii="Calibri" w:hAnsi="Calibri" w:cs="Calibri"/>
          <w:lang w:val="en-US"/>
        </w:rPr>
        <w:t xml:space="preserve">, as </w:t>
      </w:r>
      <w:proofErr w:type="spellStart"/>
      <w:r w:rsidRPr="00897825">
        <w:rPr>
          <w:rFonts w:ascii="Calibri" w:hAnsi="Calibri" w:cs="Calibri"/>
          <w:lang w:val="en-US"/>
        </w:rPr>
        <w:t>políticas</w:t>
      </w:r>
      <w:proofErr w:type="spellEnd"/>
      <w:r w:rsidRPr="00897825">
        <w:rPr>
          <w:rFonts w:ascii="Calibri" w:hAnsi="Calibri" w:cs="Calibri"/>
          <w:lang w:val="en-US"/>
        </w:rPr>
        <w:t xml:space="preserve"> de </w:t>
      </w:r>
      <w:proofErr w:type="spellStart"/>
      <w:r w:rsidRPr="00897825">
        <w:rPr>
          <w:rFonts w:ascii="Calibri" w:hAnsi="Calibri" w:cs="Calibri"/>
          <w:lang w:val="en-US"/>
        </w:rPr>
        <w:t>habitação</w:t>
      </w:r>
      <w:proofErr w:type="spellEnd"/>
      <w:r w:rsidRPr="00897825">
        <w:rPr>
          <w:rFonts w:ascii="Calibri" w:hAnsi="Calibri" w:cs="Calibri"/>
          <w:lang w:val="en-US"/>
        </w:rPr>
        <w:t xml:space="preserve"> </w:t>
      </w:r>
      <w:proofErr w:type="spellStart"/>
      <w:r w:rsidRPr="00897825">
        <w:rPr>
          <w:rFonts w:ascii="Calibri" w:hAnsi="Calibri" w:cs="Calibri"/>
          <w:lang w:val="en-US"/>
        </w:rPr>
        <w:t>pública</w:t>
      </w:r>
      <w:proofErr w:type="spellEnd"/>
      <w:r w:rsidRPr="00897825">
        <w:rPr>
          <w:rFonts w:ascii="Calibri" w:hAnsi="Calibri" w:cs="Calibri"/>
          <w:lang w:val="en-US"/>
        </w:rPr>
        <w:t xml:space="preserve"> </w:t>
      </w:r>
      <w:proofErr w:type="spellStart"/>
      <w:r w:rsidRPr="00897825">
        <w:rPr>
          <w:rFonts w:ascii="Calibri" w:hAnsi="Calibri" w:cs="Calibri"/>
          <w:lang w:val="en-US"/>
        </w:rPr>
        <w:t>multinível</w:t>
      </w:r>
      <w:proofErr w:type="spellEnd"/>
      <w:r w:rsidRPr="00897825">
        <w:rPr>
          <w:rFonts w:ascii="Calibri" w:hAnsi="Calibri" w:cs="Calibri"/>
          <w:lang w:val="en-US"/>
        </w:rPr>
        <w:t xml:space="preserve"> </w:t>
      </w:r>
      <w:proofErr w:type="spellStart"/>
      <w:r w:rsidRPr="00897825">
        <w:rPr>
          <w:rFonts w:ascii="Calibri" w:hAnsi="Calibri" w:cs="Calibri"/>
          <w:lang w:val="en-US"/>
        </w:rPr>
        <w:t>têm</w:t>
      </w:r>
      <w:proofErr w:type="spellEnd"/>
      <w:r w:rsidRPr="00897825">
        <w:rPr>
          <w:rFonts w:ascii="Calibri" w:hAnsi="Calibri" w:cs="Calibri"/>
          <w:lang w:val="en-US"/>
        </w:rPr>
        <w:t xml:space="preserve"> </w:t>
      </w:r>
      <w:proofErr w:type="spellStart"/>
      <w:r w:rsidRPr="00897825">
        <w:rPr>
          <w:rFonts w:ascii="Calibri" w:hAnsi="Calibri" w:cs="Calibri"/>
          <w:lang w:val="en-US"/>
        </w:rPr>
        <w:t>sido</w:t>
      </w:r>
      <w:proofErr w:type="spellEnd"/>
      <w:r w:rsidRPr="00897825">
        <w:rPr>
          <w:rFonts w:ascii="Calibri" w:hAnsi="Calibri" w:cs="Calibri"/>
          <w:lang w:val="en-US"/>
        </w:rPr>
        <w:t xml:space="preserve"> </w:t>
      </w:r>
      <w:proofErr w:type="spellStart"/>
      <w:r w:rsidRPr="00897825">
        <w:rPr>
          <w:rFonts w:ascii="Calibri" w:hAnsi="Calibri" w:cs="Calibri"/>
          <w:lang w:val="en-US"/>
        </w:rPr>
        <w:t>erráticas</w:t>
      </w:r>
      <w:proofErr w:type="spellEnd"/>
      <w:r w:rsidRPr="00897825">
        <w:rPr>
          <w:rFonts w:ascii="Calibri" w:hAnsi="Calibri" w:cs="Calibri"/>
          <w:lang w:val="en-US"/>
        </w:rPr>
        <w:t xml:space="preserve"> </w:t>
      </w:r>
      <w:proofErr w:type="spellStart"/>
      <w:r w:rsidRPr="00897825">
        <w:rPr>
          <w:rFonts w:ascii="Calibri" w:hAnsi="Calibri" w:cs="Calibri"/>
          <w:lang w:val="en-US"/>
        </w:rPr>
        <w:t>nos</w:t>
      </w:r>
      <w:proofErr w:type="spellEnd"/>
      <w:r w:rsidRPr="00897825">
        <w:rPr>
          <w:rFonts w:ascii="Calibri" w:hAnsi="Calibri" w:cs="Calibri"/>
          <w:lang w:val="en-US"/>
        </w:rPr>
        <w:t xml:space="preserve"> </w:t>
      </w:r>
      <w:proofErr w:type="spellStart"/>
      <w:r w:rsidRPr="00897825">
        <w:rPr>
          <w:rFonts w:ascii="Calibri" w:hAnsi="Calibri" w:cs="Calibri"/>
          <w:lang w:val="en-US"/>
        </w:rPr>
        <w:t>últimos</w:t>
      </w:r>
      <w:proofErr w:type="spellEnd"/>
      <w:r w:rsidRPr="00897825">
        <w:rPr>
          <w:rFonts w:ascii="Calibri" w:hAnsi="Calibri" w:cs="Calibri"/>
          <w:lang w:val="en-US"/>
        </w:rPr>
        <w:t xml:space="preserve"> </w:t>
      </w:r>
      <w:proofErr w:type="spellStart"/>
      <w:r w:rsidRPr="00897825">
        <w:rPr>
          <w:rFonts w:ascii="Calibri" w:hAnsi="Calibri" w:cs="Calibri"/>
          <w:lang w:val="en-US"/>
        </w:rPr>
        <w:t>anos</w:t>
      </w:r>
      <w:proofErr w:type="spellEnd"/>
      <w:r w:rsidRPr="00897825">
        <w:rPr>
          <w:rFonts w:ascii="Calibri" w:hAnsi="Calibri" w:cs="Calibri"/>
          <w:lang w:val="en-US"/>
        </w:rPr>
        <w:t xml:space="preserve">, </w:t>
      </w:r>
      <w:proofErr w:type="spellStart"/>
      <w:r w:rsidRPr="00897825">
        <w:rPr>
          <w:rFonts w:ascii="Calibri" w:hAnsi="Calibri" w:cs="Calibri"/>
          <w:lang w:val="en-US"/>
        </w:rPr>
        <w:t>não</w:t>
      </w:r>
      <w:proofErr w:type="spellEnd"/>
      <w:r w:rsidRPr="00897825">
        <w:rPr>
          <w:rFonts w:ascii="Calibri" w:hAnsi="Calibri" w:cs="Calibri"/>
          <w:lang w:val="en-US"/>
        </w:rPr>
        <w:t xml:space="preserve"> </w:t>
      </w:r>
      <w:proofErr w:type="spellStart"/>
      <w:r w:rsidRPr="00897825">
        <w:rPr>
          <w:rFonts w:ascii="Calibri" w:hAnsi="Calibri" w:cs="Calibri"/>
          <w:lang w:val="en-US"/>
        </w:rPr>
        <w:t>conseguindo</w:t>
      </w:r>
      <w:proofErr w:type="spellEnd"/>
      <w:r w:rsidRPr="00897825">
        <w:rPr>
          <w:rFonts w:ascii="Calibri" w:hAnsi="Calibri" w:cs="Calibri"/>
          <w:lang w:val="en-US"/>
        </w:rPr>
        <w:t xml:space="preserve"> </w:t>
      </w:r>
      <w:proofErr w:type="spellStart"/>
      <w:r w:rsidRPr="00897825">
        <w:rPr>
          <w:rFonts w:ascii="Calibri" w:hAnsi="Calibri" w:cs="Calibri"/>
          <w:lang w:val="en-US"/>
        </w:rPr>
        <w:t>fornecer</w:t>
      </w:r>
      <w:proofErr w:type="spellEnd"/>
      <w:r w:rsidRPr="00897825">
        <w:rPr>
          <w:rFonts w:ascii="Calibri" w:hAnsi="Calibri" w:cs="Calibri"/>
          <w:lang w:val="en-US"/>
        </w:rPr>
        <w:t xml:space="preserve"> </w:t>
      </w:r>
      <w:proofErr w:type="spellStart"/>
      <w:r w:rsidRPr="00897825">
        <w:rPr>
          <w:rFonts w:ascii="Calibri" w:hAnsi="Calibri" w:cs="Calibri"/>
          <w:lang w:val="en-US"/>
        </w:rPr>
        <w:t>alternativas</w:t>
      </w:r>
      <w:proofErr w:type="spellEnd"/>
      <w:r w:rsidRPr="00897825">
        <w:rPr>
          <w:rFonts w:ascii="Calibri" w:hAnsi="Calibri" w:cs="Calibri"/>
          <w:lang w:val="en-US"/>
        </w:rPr>
        <w:t xml:space="preserve"> reais à </w:t>
      </w:r>
      <w:proofErr w:type="spellStart"/>
      <w:r w:rsidRPr="00897825">
        <w:rPr>
          <w:rFonts w:ascii="Calibri" w:hAnsi="Calibri" w:cs="Calibri"/>
          <w:lang w:val="en-US"/>
        </w:rPr>
        <w:t>aquisição</w:t>
      </w:r>
      <w:proofErr w:type="spellEnd"/>
      <w:r w:rsidRPr="00897825">
        <w:rPr>
          <w:rFonts w:ascii="Calibri" w:hAnsi="Calibri" w:cs="Calibri"/>
          <w:lang w:val="en-US"/>
        </w:rPr>
        <w:t xml:space="preserve"> de </w:t>
      </w:r>
      <w:proofErr w:type="spellStart"/>
      <w:r w:rsidRPr="00897825">
        <w:rPr>
          <w:rFonts w:ascii="Calibri" w:hAnsi="Calibri" w:cs="Calibri"/>
          <w:lang w:val="en-US"/>
        </w:rPr>
        <w:t>habitação</w:t>
      </w:r>
      <w:proofErr w:type="spellEnd"/>
      <w:r w:rsidRPr="00897825">
        <w:rPr>
          <w:rFonts w:ascii="Calibri" w:hAnsi="Calibri" w:cs="Calibri"/>
          <w:lang w:val="en-US"/>
        </w:rPr>
        <w:t xml:space="preserve"> </w:t>
      </w:r>
      <w:proofErr w:type="spellStart"/>
      <w:r w:rsidRPr="00897825">
        <w:rPr>
          <w:rFonts w:ascii="Calibri" w:hAnsi="Calibri" w:cs="Calibri"/>
          <w:lang w:val="en-US"/>
        </w:rPr>
        <w:t>própria</w:t>
      </w:r>
      <w:proofErr w:type="spellEnd"/>
      <w:r w:rsidRPr="00897825">
        <w:rPr>
          <w:rFonts w:ascii="Calibri" w:hAnsi="Calibri" w:cs="Calibri"/>
          <w:lang w:val="en-US"/>
        </w:rPr>
        <w:t xml:space="preserve"> (da qual </w:t>
      </w:r>
      <w:proofErr w:type="spellStart"/>
      <w:r w:rsidRPr="00897825">
        <w:rPr>
          <w:rFonts w:ascii="Calibri" w:hAnsi="Calibri" w:cs="Calibri"/>
          <w:lang w:val="en-US"/>
        </w:rPr>
        <w:t>os</w:t>
      </w:r>
      <w:proofErr w:type="spellEnd"/>
      <w:r w:rsidRPr="00897825">
        <w:rPr>
          <w:rFonts w:ascii="Calibri" w:hAnsi="Calibri" w:cs="Calibri"/>
          <w:lang w:val="en-US"/>
        </w:rPr>
        <w:t xml:space="preserve"> </w:t>
      </w:r>
      <w:proofErr w:type="spellStart"/>
      <w:r w:rsidRPr="00897825">
        <w:rPr>
          <w:rFonts w:ascii="Calibri" w:hAnsi="Calibri" w:cs="Calibri"/>
          <w:lang w:val="en-US"/>
        </w:rPr>
        <w:t>jovens</w:t>
      </w:r>
      <w:proofErr w:type="spellEnd"/>
      <w:r w:rsidRPr="00897825">
        <w:rPr>
          <w:rFonts w:ascii="Calibri" w:hAnsi="Calibri" w:cs="Calibri"/>
          <w:lang w:val="en-US"/>
        </w:rPr>
        <w:t xml:space="preserve"> e as </w:t>
      </w:r>
      <w:proofErr w:type="spellStart"/>
      <w:r w:rsidRPr="00897825">
        <w:rPr>
          <w:rFonts w:ascii="Calibri" w:hAnsi="Calibri" w:cs="Calibri"/>
          <w:lang w:val="en-US"/>
        </w:rPr>
        <w:t>famílias</w:t>
      </w:r>
      <w:proofErr w:type="spellEnd"/>
      <w:r w:rsidRPr="00897825">
        <w:rPr>
          <w:rFonts w:ascii="Calibri" w:hAnsi="Calibri" w:cs="Calibri"/>
          <w:lang w:val="en-US"/>
        </w:rPr>
        <w:t xml:space="preserve"> de </w:t>
      </w:r>
      <w:proofErr w:type="spellStart"/>
      <w:r w:rsidRPr="00897825">
        <w:rPr>
          <w:rFonts w:ascii="Calibri" w:hAnsi="Calibri" w:cs="Calibri"/>
          <w:lang w:val="en-US"/>
        </w:rPr>
        <w:t>baixos</w:t>
      </w:r>
      <w:proofErr w:type="spellEnd"/>
      <w:r w:rsidRPr="00897825">
        <w:rPr>
          <w:rFonts w:ascii="Calibri" w:hAnsi="Calibri" w:cs="Calibri"/>
          <w:lang w:val="en-US"/>
        </w:rPr>
        <w:t xml:space="preserve"> </w:t>
      </w:r>
      <w:proofErr w:type="spellStart"/>
      <w:r w:rsidRPr="00897825">
        <w:rPr>
          <w:rFonts w:ascii="Calibri" w:hAnsi="Calibri" w:cs="Calibri"/>
          <w:lang w:val="en-US"/>
        </w:rPr>
        <w:t>rendimentos</w:t>
      </w:r>
      <w:proofErr w:type="spellEnd"/>
      <w:r w:rsidRPr="00897825">
        <w:rPr>
          <w:rFonts w:ascii="Calibri" w:hAnsi="Calibri" w:cs="Calibri"/>
          <w:lang w:val="en-US"/>
        </w:rPr>
        <w:t xml:space="preserve"> </w:t>
      </w:r>
      <w:proofErr w:type="spellStart"/>
      <w:r w:rsidRPr="00897825">
        <w:rPr>
          <w:rFonts w:ascii="Calibri" w:hAnsi="Calibri" w:cs="Calibri"/>
          <w:lang w:val="en-US"/>
        </w:rPr>
        <w:t>são</w:t>
      </w:r>
      <w:proofErr w:type="spellEnd"/>
      <w:r w:rsidRPr="00897825">
        <w:rPr>
          <w:rFonts w:ascii="Calibri" w:hAnsi="Calibri" w:cs="Calibri"/>
          <w:lang w:val="en-US"/>
        </w:rPr>
        <w:t xml:space="preserve"> </w:t>
      </w:r>
      <w:proofErr w:type="spellStart"/>
      <w:r w:rsidRPr="00897825">
        <w:rPr>
          <w:rFonts w:ascii="Calibri" w:hAnsi="Calibri" w:cs="Calibri"/>
          <w:lang w:val="en-US"/>
        </w:rPr>
        <w:t>excluídos</w:t>
      </w:r>
      <w:proofErr w:type="spellEnd"/>
      <w:r w:rsidRPr="00897825">
        <w:rPr>
          <w:rFonts w:ascii="Calibri" w:hAnsi="Calibri" w:cs="Calibri"/>
          <w:lang w:val="en-US"/>
        </w:rPr>
        <w:t xml:space="preserve">) </w:t>
      </w:r>
      <w:proofErr w:type="spellStart"/>
      <w:r w:rsidRPr="00897825">
        <w:rPr>
          <w:rFonts w:ascii="Calibri" w:hAnsi="Calibri" w:cs="Calibri"/>
          <w:lang w:val="en-US"/>
        </w:rPr>
        <w:t>ou</w:t>
      </w:r>
      <w:proofErr w:type="spellEnd"/>
      <w:r w:rsidRPr="00897825">
        <w:rPr>
          <w:rFonts w:ascii="Calibri" w:hAnsi="Calibri" w:cs="Calibri"/>
          <w:lang w:val="en-US"/>
        </w:rPr>
        <w:t xml:space="preserve"> à </w:t>
      </w:r>
      <w:proofErr w:type="spellStart"/>
      <w:r w:rsidRPr="00897825">
        <w:rPr>
          <w:rFonts w:ascii="Calibri" w:hAnsi="Calibri" w:cs="Calibri"/>
          <w:lang w:val="en-US"/>
        </w:rPr>
        <w:t>habitação</w:t>
      </w:r>
      <w:proofErr w:type="spellEnd"/>
      <w:r w:rsidRPr="00897825">
        <w:rPr>
          <w:rFonts w:ascii="Calibri" w:hAnsi="Calibri" w:cs="Calibri"/>
          <w:lang w:val="en-US"/>
        </w:rPr>
        <w:t xml:space="preserve"> para </w:t>
      </w:r>
      <w:proofErr w:type="spellStart"/>
      <w:r w:rsidRPr="00897825">
        <w:rPr>
          <w:rFonts w:ascii="Calibri" w:hAnsi="Calibri" w:cs="Calibri"/>
          <w:lang w:val="en-US"/>
        </w:rPr>
        <w:t>arrendamento</w:t>
      </w:r>
      <w:proofErr w:type="spellEnd"/>
      <w:r w:rsidRPr="00897825">
        <w:rPr>
          <w:rFonts w:ascii="Calibri" w:hAnsi="Calibri" w:cs="Calibri"/>
          <w:lang w:val="en-US"/>
        </w:rPr>
        <w:t xml:space="preserve"> (que continua a </w:t>
      </w:r>
      <w:proofErr w:type="spellStart"/>
      <w:r w:rsidRPr="00897825">
        <w:rPr>
          <w:rFonts w:ascii="Calibri" w:hAnsi="Calibri" w:cs="Calibri"/>
          <w:lang w:val="en-US"/>
        </w:rPr>
        <w:t>não</w:t>
      </w:r>
      <w:proofErr w:type="spellEnd"/>
      <w:r w:rsidRPr="00897825">
        <w:rPr>
          <w:rFonts w:ascii="Calibri" w:hAnsi="Calibri" w:cs="Calibri"/>
          <w:lang w:val="en-US"/>
        </w:rPr>
        <w:t xml:space="preserve"> ser </w:t>
      </w:r>
      <w:proofErr w:type="spellStart"/>
      <w:r w:rsidRPr="00897825">
        <w:rPr>
          <w:rFonts w:ascii="Calibri" w:hAnsi="Calibri" w:cs="Calibri"/>
          <w:lang w:val="en-US"/>
        </w:rPr>
        <w:t>uma</w:t>
      </w:r>
      <w:proofErr w:type="spellEnd"/>
      <w:r w:rsidRPr="00897825">
        <w:rPr>
          <w:rFonts w:ascii="Calibri" w:hAnsi="Calibri" w:cs="Calibri"/>
          <w:lang w:val="en-US"/>
        </w:rPr>
        <w:t xml:space="preserve"> </w:t>
      </w:r>
      <w:proofErr w:type="spellStart"/>
      <w:r w:rsidRPr="00897825">
        <w:rPr>
          <w:rFonts w:ascii="Calibri" w:hAnsi="Calibri" w:cs="Calibri"/>
          <w:lang w:val="en-US"/>
        </w:rPr>
        <w:t>alternativa</w:t>
      </w:r>
      <w:proofErr w:type="spellEnd"/>
      <w:r w:rsidRPr="00897825">
        <w:rPr>
          <w:rFonts w:ascii="Calibri" w:hAnsi="Calibri" w:cs="Calibri"/>
          <w:lang w:val="en-US"/>
        </w:rPr>
        <w:t xml:space="preserve"> </w:t>
      </w:r>
      <w:proofErr w:type="spellStart"/>
      <w:r w:rsidRPr="00897825">
        <w:rPr>
          <w:rFonts w:ascii="Calibri" w:hAnsi="Calibri" w:cs="Calibri"/>
          <w:lang w:val="en-US"/>
        </w:rPr>
        <w:t>verdadeiramente</w:t>
      </w:r>
      <w:proofErr w:type="spellEnd"/>
      <w:r w:rsidRPr="00897825">
        <w:rPr>
          <w:rFonts w:ascii="Calibri" w:hAnsi="Calibri" w:cs="Calibri"/>
          <w:lang w:val="en-US"/>
        </w:rPr>
        <w:t xml:space="preserve"> </w:t>
      </w:r>
      <w:proofErr w:type="spellStart"/>
      <w:r w:rsidRPr="00897825">
        <w:rPr>
          <w:rFonts w:ascii="Calibri" w:hAnsi="Calibri" w:cs="Calibri"/>
          <w:lang w:val="en-US"/>
        </w:rPr>
        <w:t>desejável</w:t>
      </w:r>
      <w:proofErr w:type="spellEnd"/>
      <w:r w:rsidRPr="00897825">
        <w:rPr>
          <w:rFonts w:ascii="Calibri" w:hAnsi="Calibri" w:cs="Calibri"/>
          <w:lang w:val="en-US"/>
        </w:rPr>
        <w:t xml:space="preserve"> à </w:t>
      </w:r>
      <w:proofErr w:type="spellStart"/>
      <w:r w:rsidRPr="00897825">
        <w:rPr>
          <w:rFonts w:ascii="Calibri" w:hAnsi="Calibri" w:cs="Calibri"/>
          <w:lang w:val="en-US"/>
        </w:rPr>
        <w:t>aquisição</w:t>
      </w:r>
      <w:proofErr w:type="spellEnd"/>
      <w:r w:rsidRPr="00897825">
        <w:rPr>
          <w:rFonts w:ascii="Calibri" w:hAnsi="Calibri" w:cs="Calibri"/>
          <w:lang w:val="en-US"/>
        </w:rPr>
        <w:t xml:space="preserve"> de </w:t>
      </w:r>
      <w:proofErr w:type="spellStart"/>
      <w:r w:rsidRPr="00897825">
        <w:rPr>
          <w:rFonts w:ascii="Calibri" w:hAnsi="Calibri" w:cs="Calibri"/>
          <w:lang w:val="en-US"/>
        </w:rPr>
        <w:t>habitação</w:t>
      </w:r>
      <w:proofErr w:type="spellEnd"/>
      <w:r w:rsidRPr="00897825">
        <w:rPr>
          <w:rFonts w:ascii="Calibri" w:hAnsi="Calibri" w:cs="Calibri"/>
          <w:lang w:val="en-US"/>
        </w:rPr>
        <w:t xml:space="preserve"> </w:t>
      </w:r>
      <w:proofErr w:type="spellStart"/>
      <w:r w:rsidRPr="00897825">
        <w:rPr>
          <w:rFonts w:ascii="Calibri" w:hAnsi="Calibri" w:cs="Calibri"/>
          <w:lang w:val="en-US"/>
        </w:rPr>
        <w:t>própria</w:t>
      </w:r>
      <w:proofErr w:type="spellEnd"/>
      <w:r w:rsidRPr="00897825">
        <w:rPr>
          <w:rFonts w:ascii="Calibri" w:hAnsi="Calibri" w:cs="Calibri"/>
          <w:lang w:val="en-US"/>
        </w:rPr>
        <w:t xml:space="preserve">), </w:t>
      </w:r>
      <w:proofErr w:type="spellStart"/>
      <w:r w:rsidRPr="00897825">
        <w:rPr>
          <w:rFonts w:ascii="Calibri" w:hAnsi="Calibri" w:cs="Calibri"/>
          <w:lang w:val="en-US"/>
        </w:rPr>
        <w:t>enquanto</w:t>
      </w:r>
      <w:proofErr w:type="spellEnd"/>
      <w:r w:rsidRPr="00897825">
        <w:rPr>
          <w:rFonts w:ascii="Calibri" w:hAnsi="Calibri" w:cs="Calibri"/>
          <w:lang w:val="en-US"/>
        </w:rPr>
        <w:t xml:space="preserve"> as </w:t>
      </w:r>
      <w:proofErr w:type="spellStart"/>
      <w:r w:rsidRPr="00897825">
        <w:rPr>
          <w:rFonts w:ascii="Calibri" w:hAnsi="Calibri" w:cs="Calibri"/>
          <w:lang w:val="en-US"/>
        </w:rPr>
        <w:t>tentativas</w:t>
      </w:r>
      <w:proofErr w:type="spellEnd"/>
      <w:r w:rsidRPr="00897825">
        <w:rPr>
          <w:rFonts w:ascii="Calibri" w:hAnsi="Calibri" w:cs="Calibri"/>
          <w:lang w:val="en-US"/>
        </w:rPr>
        <w:t xml:space="preserve"> de </w:t>
      </w:r>
      <w:proofErr w:type="spellStart"/>
      <w:r w:rsidRPr="00897825">
        <w:rPr>
          <w:rFonts w:ascii="Calibri" w:hAnsi="Calibri" w:cs="Calibri"/>
          <w:lang w:val="en-US"/>
        </w:rPr>
        <w:t>aumentar</w:t>
      </w:r>
      <w:proofErr w:type="spellEnd"/>
      <w:r w:rsidRPr="00897825">
        <w:rPr>
          <w:rFonts w:ascii="Calibri" w:hAnsi="Calibri" w:cs="Calibri"/>
          <w:lang w:val="en-US"/>
        </w:rPr>
        <w:t xml:space="preserve"> o stock de </w:t>
      </w:r>
      <w:proofErr w:type="spellStart"/>
      <w:r w:rsidRPr="00897825">
        <w:rPr>
          <w:rFonts w:ascii="Calibri" w:hAnsi="Calibri" w:cs="Calibri"/>
          <w:lang w:val="en-US"/>
        </w:rPr>
        <w:t>habitação</w:t>
      </w:r>
      <w:proofErr w:type="spellEnd"/>
      <w:r w:rsidRPr="00897825">
        <w:rPr>
          <w:rFonts w:ascii="Calibri" w:hAnsi="Calibri" w:cs="Calibri"/>
          <w:lang w:val="en-US"/>
        </w:rPr>
        <w:t xml:space="preserve"> social e </w:t>
      </w:r>
      <w:proofErr w:type="spellStart"/>
      <w:r w:rsidRPr="00897825">
        <w:rPr>
          <w:rFonts w:ascii="Calibri" w:hAnsi="Calibri" w:cs="Calibri"/>
          <w:lang w:val="en-US"/>
        </w:rPr>
        <w:t>acessível</w:t>
      </w:r>
      <w:proofErr w:type="spellEnd"/>
      <w:r w:rsidRPr="00897825">
        <w:rPr>
          <w:rFonts w:ascii="Calibri" w:hAnsi="Calibri" w:cs="Calibri"/>
          <w:lang w:val="en-US"/>
        </w:rPr>
        <w:t xml:space="preserve"> (</w:t>
      </w:r>
      <w:proofErr w:type="spellStart"/>
      <w:r w:rsidRPr="00897825">
        <w:rPr>
          <w:rFonts w:ascii="Calibri" w:hAnsi="Calibri" w:cs="Calibri"/>
          <w:lang w:val="en-US"/>
        </w:rPr>
        <w:t>por</w:t>
      </w:r>
      <w:proofErr w:type="spellEnd"/>
      <w:r w:rsidRPr="00897825">
        <w:rPr>
          <w:rFonts w:ascii="Calibri" w:hAnsi="Calibri" w:cs="Calibri"/>
          <w:lang w:val="en-US"/>
        </w:rPr>
        <w:t xml:space="preserve"> </w:t>
      </w:r>
      <w:proofErr w:type="spellStart"/>
      <w:r w:rsidRPr="00897825">
        <w:rPr>
          <w:rFonts w:ascii="Calibri" w:hAnsi="Calibri" w:cs="Calibri"/>
          <w:lang w:val="en-US"/>
        </w:rPr>
        <w:t>exemplo</w:t>
      </w:r>
      <w:proofErr w:type="spellEnd"/>
      <w:r w:rsidRPr="00897825">
        <w:rPr>
          <w:rFonts w:ascii="Calibri" w:hAnsi="Calibri" w:cs="Calibri"/>
          <w:lang w:val="en-US"/>
        </w:rPr>
        <w:t xml:space="preserve">, </w:t>
      </w:r>
      <w:proofErr w:type="spellStart"/>
      <w:r w:rsidRPr="00897825">
        <w:rPr>
          <w:rFonts w:ascii="Calibri" w:hAnsi="Calibri" w:cs="Calibri"/>
          <w:lang w:val="en-US"/>
        </w:rPr>
        <w:t>através</w:t>
      </w:r>
      <w:proofErr w:type="spellEnd"/>
      <w:r w:rsidRPr="00897825">
        <w:rPr>
          <w:rFonts w:ascii="Calibri" w:hAnsi="Calibri" w:cs="Calibri"/>
          <w:lang w:val="en-US"/>
        </w:rPr>
        <w:t xml:space="preserve"> de </w:t>
      </w:r>
      <w:proofErr w:type="spellStart"/>
      <w:r w:rsidRPr="00897825">
        <w:rPr>
          <w:rFonts w:ascii="Calibri" w:hAnsi="Calibri" w:cs="Calibri"/>
          <w:lang w:val="en-US"/>
        </w:rPr>
        <w:t>expropriações</w:t>
      </w:r>
      <w:proofErr w:type="spellEnd"/>
      <w:r w:rsidRPr="00897825">
        <w:rPr>
          <w:rFonts w:ascii="Calibri" w:hAnsi="Calibri" w:cs="Calibri"/>
          <w:lang w:val="en-US"/>
        </w:rPr>
        <w:t xml:space="preserve"> </w:t>
      </w:r>
      <w:proofErr w:type="spellStart"/>
      <w:r w:rsidRPr="00897825">
        <w:rPr>
          <w:rFonts w:ascii="Calibri" w:hAnsi="Calibri" w:cs="Calibri"/>
          <w:lang w:val="en-US"/>
        </w:rPr>
        <w:t>ou</w:t>
      </w:r>
      <w:proofErr w:type="spellEnd"/>
      <w:r w:rsidRPr="00897825">
        <w:rPr>
          <w:rFonts w:ascii="Calibri" w:hAnsi="Calibri" w:cs="Calibri"/>
          <w:lang w:val="en-US"/>
        </w:rPr>
        <w:t xml:space="preserve"> </w:t>
      </w:r>
      <w:proofErr w:type="spellStart"/>
      <w:r w:rsidRPr="00897825">
        <w:rPr>
          <w:rFonts w:ascii="Calibri" w:hAnsi="Calibri" w:cs="Calibri"/>
          <w:lang w:val="en-US"/>
        </w:rPr>
        <w:t>sanções</w:t>
      </w:r>
      <w:proofErr w:type="spellEnd"/>
      <w:r w:rsidRPr="00897825">
        <w:rPr>
          <w:rFonts w:ascii="Calibri" w:hAnsi="Calibri" w:cs="Calibri"/>
          <w:lang w:val="en-US"/>
        </w:rPr>
        <w:t xml:space="preserve"> para </w:t>
      </w:r>
      <w:proofErr w:type="spellStart"/>
      <w:r w:rsidRPr="00897825">
        <w:rPr>
          <w:rFonts w:ascii="Calibri" w:hAnsi="Calibri" w:cs="Calibri"/>
          <w:lang w:val="en-US"/>
        </w:rPr>
        <w:t>os</w:t>
      </w:r>
      <w:proofErr w:type="spellEnd"/>
      <w:r w:rsidRPr="00897825">
        <w:rPr>
          <w:rFonts w:ascii="Calibri" w:hAnsi="Calibri" w:cs="Calibri"/>
          <w:lang w:val="en-US"/>
        </w:rPr>
        <w:t xml:space="preserve"> </w:t>
      </w:r>
      <w:proofErr w:type="spellStart"/>
      <w:r w:rsidRPr="00897825">
        <w:rPr>
          <w:rFonts w:ascii="Calibri" w:hAnsi="Calibri" w:cs="Calibri"/>
          <w:lang w:val="en-US"/>
        </w:rPr>
        <w:t>proprietários</w:t>
      </w:r>
      <w:proofErr w:type="spellEnd"/>
      <w:r w:rsidRPr="00897825">
        <w:rPr>
          <w:rFonts w:ascii="Calibri" w:hAnsi="Calibri" w:cs="Calibri"/>
          <w:lang w:val="en-US"/>
        </w:rPr>
        <w:t xml:space="preserve"> de casas </w:t>
      </w:r>
      <w:proofErr w:type="spellStart"/>
      <w:r w:rsidRPr="00897825">
        <w:rPr>
          <w:rFonts w:ascii="Calibri" w:hAnsi="Calibri" w:cs="Calibri"/>
          <w:lang w:val="en-US"/>
        </w:rPr>
        <w:t>vazias</w:t>
      </w:r>
      <w:proofErr w:type="spellEnd"/>
      <w:r w:rsidRPr="00897825">
        <w:rPr>
          <w:rFonts w:ascii="Calibri" w:hAnsi="Calibri" w:cs="Calibri"/>
          <w:lang w:val="en-US"/>
        </w:rPr>
        <w:t>)</w:t>
      </w:r>
      <w:r w:rsidR="00897825">
        <w:rPr>
          <w:rFonts w:ascii="Calibri" w:hAnsi="Calibri" w:cs="Calibri"/>
          <w:lang w:val="en-US"/>
        </w:rPr>
        <w:t xml:space="preserve"> </w:t>
      </w:r>
      <w:proofErr w:type="spellStart"/>
      <w:r w:rsidR="00897825" w:rsidRPr="00897825">
        <w:rPr>
          <w:rFonts w:ascii="Calibri" w:hAnsi="Calibri" w:cs="Calibri"/>
          <w:lang w:val="en-US"/>
        </w:rPr>
        <w:t>tiveram</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sucesso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limitado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Isso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levou</w:t>
      </w:r>
      <w:proofErr w:type="spellEnd"/>
      <w:r w:rsidR="00897825" w:rsidRPr="00897825">
        <w:rPr>
          <w:rFonts w:ascii="Calibri" w:hAnsi="Calibri" w:cs="Calibri"/>
          <w:lang w:val="en-US"/>
        </w:rPr>
        <w:t xml:space="preserve"> a </w:t>
      </w:r>
      <w:proofErr w:type="spellStart"/>
      <w:r w:rsidR="00897825" w:rsidRPr="00897825">
        <w:rPr>
          <w:rFonts w:ascii="Calibri" w:hAnsi="Calibri" w:cs="Calibri"/>
          <w:lang w:val="en-US"/>
        </w:rPr>
        <w:t>uma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precariedade</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progressiva</w:t>
      </w:r>
      <w:proofErr w:type="spellEnd"/>
      <w:r w:rsidR="00897825" w:rsidRPr="00897825">
        <w:rPr>
          <w:rFonts w:ascii="Calibri" w:hAnsi="Calibri" w:cs="Calibri"/>
          <w:lang w:val="en-US"/>
        </w:rPr>
        <w:t xml:space="preserve"> da posse e </w:t>
      </w:r>
      <w:proofErr w:type="gramStart"/>
      <w:r w:rsidR="00897825" w:rsidRPr="00897825">
        <w:rPr>
          <w:rFonts w:ascii="Calibri" w:hAnsi="Calibri" w:cs="Calibri"/>
          <w:lang w:val="en-US"/>
        </w:rPr>
        <w:t>a</w:t>
      </w:r>
      <w:proofErr w:type="gramEnd"/>
      <w:r w:rsidR="00897825" w:rsidRPr="00897825">
        <w:rPr>
          <w:rFonts w:ascii="Calibri" w:hAnsi="Calibri" w:cs="Calibri"/>
          <w:lang w:val="en-US"/>
        </w:rPr>
        <w:t xml:space="preserve"> um </w:t>
      </w:r>
      <w:proofErr w:type="spellStart"/>
      <w:r w:rsidR="00897825" w:rsidRPr="00897825">
        <w:rPr>
          <w:rFonts w:ascii="Calibri" w:hAnsi="Calibri" w:cs="Calibri"/>
          <w:lang w:val="en-US"/>
        </w:rPr>
        <w:t>aumento</w:t>
      </w:r>
      <w:proofErr w:type="spellEnd"/>
      <w:r w:rsidR="00897825" w:rsidRPr="00897825">
        <w:rPr>
          <w:rFonts w:ascii="Calibri" w:hAnsi="Calibri" w:cs="Calibri"/>
          <w:lang w:val="en-US"/>
        </w:rPr>
        <w:t xml:space="preserve"> (e </w:t>
      </w:r>
      <w:proofErr w:type="spellStart"/>
      <w:r w:rsidR="00897825" w:rsidRPr="00897825">
        <w:rPr>
          <w:rFonts w:ascii="Calibri" w:hAnsi="Calibri" w:cs="Calibri"/>
          <w:lang w:val="en-US"/>
        </w:rPr>
        <w:t>até</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mesmo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promoção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por</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parte</w:t>
      </w:r>
      <w:proofErr w:type="spellEnd"/>
      <w:r w:rsidR="00897825" w:rsidRPr="00897825">
        <w:rPr>
          <w:rFonts w:ascii="Calibri" w:hAnsi="Calibri" w:cs="Calibri"/>
          <w:lang w:val="en-US"/>
        </w:rPr>
        <w:t xml:space="preserve"> das </w:t>
      </w:r>
      <w:proofErr w:type="spellStart"/>
      <w:r w:rsidR="00897825" w:rsidRPr="00897825">
        <w:rPr>
          <w:rFonts w:ascii="Calibri" w:hAnsi="Calibri" w:cs="Calibri"/>
          <w:lang w:val="en-US"/>
        </w:rPr>
        <w:t>autoridades</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públicas</w:t>
      </w:r>
      <w:proofErr w:type="spellEnd"/>
      <w:r w:rsidR="00897825" w:rsidRPr="00897825">
        <w:rPr>
          <w:rFonts w:ascii="Calibri" w:hAnsi="Calibri" w:cs="Calibri"/>
          <w:lang w:val="en-US"/>
        </w:rPr>
        <w:t xml:space="preserve">) de </w:t>
      </w:r>
      <w:proofErr w:type="spellStart"/>
      <w:r w:rsidR="00897825" w:rsidRPr="00897825">
        <w:rPr>
          <w:rFonts w:ascii="Calibri" w:hAnsi="Calibri" w:cs="Calibri"/>
          <w:lang w:val="en-US"/>
        </w:rPr>
        <w:t>situações</w:t>
      </w:r>
      <w:proofErr w:type="spellEnd"/>
      <w:r w:rsidR="00897825" w:rsidRPr="00897825">
        <w:rPr>
          <w:rFonts w:ascii="Calibri" w:hAnsi="Calibri" w:cs="Calibri"/>
          <w:lang w:val="en-US"/>
        </w:rPr>
        <w:t xml:space="preserve"> de </w:t>
      </w:r>
      <w:proofErr w:type="spellStart"/>
      <w:r w:rsidR="00897825" w:rsidRPr="00897825">
        <w:rPr>
          <w:rFonts w:ascii="Calibri" w:hAnsi="Calibri" w:cs="Calibri"/>
          <w:lang w:val="en-US"/>
        </w:rPr>
        <w:t>falta</w:t>
      </w:r>
      <w:proofErr w:type="spellEnd"/>
      <w:r w:rsidR="00897825" w:rsidRPr="00897825">
        <w:rPr>
          <w:rFonts w:ascii="Calibri" w:hAnsi="Calibri" w:cs="Calibri"/>
          <w:lang w:val="en-US"/>
        </w:rPr>
        <w:t xml:space="preserve"> de </w:t>
      </w:r>
      <w:proofErr w:type="spellStart"/>
      <w:r w:rsidR="00897825" w:rsidRPr="00897825">
        <w:rPr>
          <w:rFonts w:ascii="Calibri" w:hAnsi="Calibri" w:cs="Calibri"/>
          <w:lang w:val="en-US"/>
        </w:rPr>
        <w:t>moradia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oculta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como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ocupação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ilegal</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moradia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compartilhada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superlotação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ou</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moradia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precária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sem</w:t>
      </w:r>
      <w:proofErr w:type="spellEnd"/>
      <w:r w:rsidR="00897825" w:rsidRPr="00897825">
        <w:rPr>
          <w:rFonts w:ascii="Calibri" w:hAnsi="Calibri" w:cs="Calibri"/>
          <w:lang w:val="en-US"/>
        </w:rPr>
        <w:t xml:space="preserve"> que a Lei </w:t>
      </w:r>
      <w:proofErr w:type="spellStart"/>
      <w:r w:rsidR="00897825" w:rsidRPr="00897825">
        <w:rPr>
          <w:rFonts w:ascii="Calibri" w:hAnsi="Calibri" w:cs="Calibri"/>
          <w:lang w:val="en-US"/>
        </w:rPr>
        <w:t>Estadual</w:t>
      </w:r>
      <w:proofErr w:type="spellEnd"/>
      <w:r w:rsidR="00897825" w:rsidRPr="00897825">
        <w:rPr>
          <w:rFonts w:ascii="Calibri" w:hAnsi="Calibri" w:cs="Calibri"/>
          <w:lang w:val="en-US"/>
        </w:rPr>
        <w:t xml:space="preserve"> de </w:t>
      </w:r>
      <w:proofErr w:type="spellStart"/>
      <w:r w:rsidR="00897825" w:rsidRPr="00897825">
        <w:rPr>
          <w:rFonts w:ascii="Calibri" w:hAnsi="Calibri" w:cs="Calibri"/>
          <w:lang w:val="en-US"/>
        </w:rPr>
        <w:t>Habitação</w:t>
      </w:r>
      <w:proofErr w:type="spellEnd"/>
      <w:r w:rsidR="00897825" w:rsidRPr="00897825">
        <w:rPr>
          <w:rFonts w:ascii="Calibri" w:hAnsi="Calibri" w:cs="Calibri"/>
          <w:lang w:val="en-US"/>
        </w:rPr>
        <w:t xml:space="preserve"> 12/2023 </w:t>
      </w:r>
      <w:proofErr w:type="spellStart"/>
      <w:r w:rsidR="00897825" w:rsidRPr="00897825">
        <w:rPr>
          <w:rFonts w:ascii="Calibri" w:hAnsi="Calibri" w:cs="Calibri"/>
          <w:lang w:val="en-US"/>
        </w:rPr>
        <w:t>tenha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adotado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quaisquer</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medidas</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estruturais</w:t>
      </w:r>
      <w:proofErr w:type="spellEnd"/>
      <w:r w:rsidR="00897825" w:rsidRPr="00897825">
        <w:rPr>
          <w:rFonts w:ascii="Calibri" w:hAnsi="Calibri" w:cs="Calibri"/>
          <w:lang w:val="en-US"/>
        </w:rPr>
        <w:t xml:space="preserve"> para </w:t>
      </w:r>
      <w:proofErr w:type="spellStart"/>
      <w:r w:rsidR="00897825" w:rsidRPr="00897825">
        <w:rPr>
          <w:rFonts w:ascii="Calibri" w:hAnsi="Calibri" w:cs="Calibri"/>
          <w:lang w:val="en-US"/>
        </w:rPr>
        <w:t>suprir</w:t>
      </w:r>
      <w:proofErr w:type="spellEnd"/>
      <w:r w:rsidR="00897825" w:rsidRPr="00897825">
        <w:rPr>
          <w:rFonts w:ascii="Calibri" w:hAnsi="Calibri" w:cs="Calibri"/>
          <w:lang w:val="en-US"/>
        </w:rPr>
        <w:t xml:space="preserve"> as lacunas </w:t>
      </w:r>
      <w:proofErr w:type="spellStart"/>
      <w:r w:rsidR="00897825" w:rsidRPr="00897825">
        <w:rPr>
          <w:rFonts w:ascii="Calibri" w:hAnsi="Calibri" w:cs="Calibri"/>
          <w:lang w:val="en-US"/>
        </w:rPr>
        <w:t>existentes</w:t>
      </w:r>
      <w:proofErr w:type="spellEnd"/>
      <w:r w:rsidR="00897825" w:rsidRPr="00897825">
        <w:rPr>
          <w:rFonts w:ascii="Calibri" w:hAnsi="Calibri" w:cs="Calibri"/>
          <w:lang w:val="en-US"/>
        </w:rPr>
        <w:t xml:space="preserve"> no </w:t>
      </w:r>
      <w:proofErr w:type="spellStart"/>
      <w:r w:rsidR="00897825" w:rsidRPr="00897825">
        <w:rPr>
          <w:rFonts w:ascii="Calibri" w:hAnsi="Calibri" w:cs="Calibri"/>
          <w:lang w:val="en-US"/>
        </w:rPr>
        <w:t>desenvolvimento</w:t>
      </w:r>
      <w:proofErr w:type="spellEnd"/>
      <w:r w:rsidR="00897825" w:rsidRPr="00897825">
        <w:rPr>
          <w:rFonts w:ascii="Calibri" w:hAnsi="Calibri" w:cs="Calibri"/>
          <w:lang w:val="en-US"/>
        </w:rPr>
        <w:t xml:space="preserve"> do </w:t>
      </w:r>
      <w:proofErr w:type="spellStart"/>
      <w:r w:rsidR="00897825" w:rsidRPr="00897825">
        <w:rPr>
          <w:rFonts w:ascii="Calibri" w:hAnsi="Calibri" w:cs="Calibri"/>
          <w:lang w:val="en-US"/>
        </w:rPr>
        <w:t>direito</w:t>
      </w:r>
      <w:proofErr w:type="spellEnd"/>
      <w:r w:rsidR="00897825" w:rsidRPr="00897825">
        <w:rPr>
          <w:rFonts w:ascii="Calibri" w:hAnsi="Calibri" w:cs="Calibri"/>
          <w:lang w:val="en-US"/>
        </w:rPr>
        <w:t xml:space="preserve"> à </w:t>
      </w:r>
      <w:proofErr w:type="spellStart"/>
      <w:r w:rsidR="00897825" w:rsidRPr="00897825">
        <w:rPr>
          <w:rFonts w:ascii="Calibri" w:hAnsi="Calibri" w:cs="Calibri"/>
          <w:lang w:val="en-US"/>
        </w:rPr>
        <w:t>moradia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digna</w:t>
      </w:r>
      <w:proofErr w:type="spellEnd"/>
      <w:r w:rsidR="00897825" w:rsidRPr="00897825">
        <w:rPr>
          <w:rFonts w:ascii="Calibri" w:hAnsi="Calibri" w:cs="Calibri"/>
          <w:lang w:val="en-US"/>
        </w:rPr>
        <w:t xml:space="preserve"> e </w:t>
      </w:r>
      <w:proofErr w:type="spellStart"/>
      <w:r w:rsidR="00897825" w:rsidRPr="00897825">
        <w:rPr>
          <w:rFonts w:ascii="Calibri" w:hAnsi="Calibri" w:cs="Calibri"/>
          <w:lang w:val="en-US"/>
        </w:rPr>
        <w:t>adequada</w:t>
      </w:r>
      <w:proofErr w:type="spellEnd"/>
      <w:r w:rsidR="00897825" w:rsidRPr="00897825">
        <w:rPr>
          <w:rFonts w:ascii="Calibri" w:hAnsi="Calibri" w:cs="Calibri"/>
          <w:lang w:val="en-US"/>
        </w:rPr>
        <w:t xml:space="preserve">. Este </w:t>
      </w:r>
      <w:proofErr w:type="spellStart"/>
      <w:r w:rsidR="00897825" w:rsidRPr="00897825">
        <w:rPr>
          <w:rFonts w:ascii="Calibri" w:hAnsi="Calibri" w:cs="Calibri"/>
          <w:lang w:val="en-US"/>
        </w:rPr>
        <w:t>artigo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analisa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este</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problema</w:t>
      </w:r>
      <w:proofErr w:type="spellEnd"/>
      <w:r w:rsidR="00897825" w:rsidRPr="00897825">
        <w:rPr>
          <w:rFonts w:ascii="Calibri" w:hAnsi="Calibri" w:cs="Calibri"/>
          <w:lang w:val="en-US"/>
        </w:rPr>
        <w:t xml:space="preserve"> e </w:t>
      </w:r>
      <w:proofErr w:type="spellStart"/>
      <w:r w:rsidR="00897825" w:rsidRPr="00897825">
        <w:rPr>
          <w:rFonts w:ascii="Calibri" w:hAnsi="Calibri" w:cs="Calibri"/>
          <w:lang w:val="en-US"/>
        </w:rPr>
        <w:t>possíveis</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soluções</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estruturais</w:t>
      </w:r>
      <w:proofErr w:type="spellEnd"/>
      <w:r w:rsidR="00897825" w:rsidRPr="00897825">
        <w:rPr>
          <w:rFonts w:ascii="Calibri" w:hAnsi="Calibri" w:cs="Calibri"/>
          <w:lang w:val="en-US"/>
        </w:rPr>
        <w:t xml:space="preserve"> para a </w:t>
      </w:r>
      <w:proofErr w:type="spellStart"/>
      <w:r w:rsidR="00897825" w:rsidRPr="00897825">
        <w:rPr>
          <w:rFonts w:ascii="Calibri" w:hAnsi="Calibri" w:cs="Calibri"/>
          <w:lang w:val="en-US"/>
        </w:rPr>
        <w:t>questão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habitacional</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como</w:t>
      </w:r>
      <w:proofErr w:type="spellEnd"/>
      <w:r w:rsidR="00897825" w:rsidRPr="00897825">
        <w:rPr>
          <w:rFonts w:ascii="Calibri" w:hAnsi="Calibri" w:cs="Calibri"/>
          <w:lang w:val="en-US"/>
        </w:rPr>
        <w:t xml:space="preserve"> a </w:t>
      </w:r>
      <w:proofErr w:type="spellStart"/>
      <w:r w:rsidR="00897825" w:rsidRPr="00897825">
        <w:rPr>
          <w:rFonts w:ascii="Calibri" w:hAnsi="Calibri" w:cs="Calibri"/>
          <w:lang w:val="en-US"/>
        </w:rPr>
        <w:t>coesão</w:t>
      </w:r>
      <w:proofErr w:type="spellEnd"/>
      <w:r w:rsidR="00897825" w:rsidRPr="00897825">
        <w:rPr>
          <w:rFonts w:ascii="Calibri" w:hAnsi="Calibri" w:cs="Calibri"/>
          <w:lang w:val="en-US"/>
        </w:rPr>
        <w:t xml:space="preserve"> territorial </w:t>
      </w:r>
      <w:proofErr w:type="spellStart"/>
      <w:r w:rsidR="00897825" w:rsidRPr="00897825">
        <w:rPr>
          <w:rFonts w:ascii="Calibri" w:hAnsi="Calibri" w:cs="Calibri"/>
          <w:lang w:val="en-US"/>
        </w:rPr>
        <w:t>ou</w:t>
      </w:r>
      <w:proofErr w:type="spellEnd"/>
      <w:r w:rsidR="00897825" w:rsidRPr="00897825">
        <w:rPr>
          <w:rFonts w:ascii="Calibri" w:hAnsi="Calibri" w:cs="Calibri"/>
          <w:lang w:val="en-US"/>
        </w:rPr>
        <w:t xml:space="preserve"> a </w:t>
      </w:r>
      <w:proofErr w:type="spellStart"/>
      <w:r w:rsidR="00897825" w:rsidRPr="00897825">
        <w:rPr>
          <w:rFonts w:ascii="Calibri" w:hAnsi="Calibri" w:cs="Calibri"/>
          <w:lang w:val="en-US"/>
        </w:rPr>
        <w:t>diversificação</w:t>
      </w:r>
      <w:proofErr w:type="spellEnd"/>
      <w:r w:rsidR="00897825" w:rsidRPr="00897825">
        <w:rPr>
          <w:rFonts w:ascii="Calibri" w:hAnsi="Calibri" w:cs="Calibri"/>
          <w:lang w:val="en-US"/>
        </w:rPr>
        <w:t xml:space="preserve"> da posse da </w:t>
      </w:r>
      <w:proofErr w:type="spellStart"/>
      <w:r w:rsidR="00897825" w:rsidRPr="00897825">
        <w:rPr>
          <w:rFonts w:ascii="Calibri" w:hAnsi="Calibri" w:cs="Calibri"/>
          <w:lang w:val="en-US"/>
        </w:rPr>
        <w:t>habitação</w:t>
      </w:r>
      <w:proofErr w:type="spellEnd"/>
      <w:r w:rsidR="00897825" w:rsidRPr="00897825">
        <w:rPr>
          <w:rFonts w:ascii="Calibri" w:hAnsi="Calibri" w:cs="Calibri"/>
          <w:lang w:val="en-US"/>
        </w:rPr>
        <w:t>.</w:t>
      </w:r>
    </w:p>
    <w:p w14:paraId="20E5B229" w14:textId="292368B7" w:rsidR="00C9650A" w:rsidRDefault="00897825" w:rsidP="00790CFB">
      <w:pPr>
        <w:widowControl w:val="0"/>
        <w:spacing w:line="360" w:lineRule="auto"/>
        <w:jc w:val="both"/>
        <w:rPr>
          <w:rFonts w:ascii="Calibri" w:hAnsi="Calibri" w:cs="Calibri"/>
          <w:lang w:val="en-US"/>
        </w:rPr>
      </w:pPr>
      <w:proofErr w:type="spellStart"/>
      <w:r w:rsidRPr="00897825">
        <w:rPr>
          <w:rFonts w:ascii="Calibri" w:hAnsi="Calibri" w:cs="Calibri"/>
          <w:b/>
          <w:bCs/>
          <w:sz w:val="28"/>
          <w:szCs w:val="28"/>
          <w:lang w:val="en-US"/>
        </w:rPr>
        <w:t>Palavras</w:t>
      </w:r>
      <w:proofErr w:type="spellEnd"/>
      <w:r w:rsidRPr="00897825">
        <w:rPr>
          <w:rFonts w:ascii="Calibri" w:hAnsi="Calibri" w:cs="Calibri"/>
          <w:b/>
          <w:bCs/>
          <w:sz w:val="28"/>
          <w:szCs w:val="28"/>
          <w:lang w:val="en-US"/>
        </w:rPr>
        <w:t xml:space="preserve"> </w:t>
      </w:r>
      <w:proofErr w:type="spellStart"/>
      <w:r w:rsidRPr="00897825">
        <w:rPr>
          <w:rFonts w:ascii="Calibri" w:hAnsi="Calibri" w:cs="Calibri"/>
          <w:b/>
          <w:bCs/>
          <w:sz w:val="28"/>
          <w:szCs w:val="28"/>
          <w:lang w:val="en-US"/>
        </w:rPr>
        <w:t>chave</w:t>
      </w:r>
      <w:proofErr w:type="spellEnd"/>
      <w:r w:rsidRPr="00897825">
        <w:rPr>
          <w:rFonts w:ascii="Calibri" w:hAnsi="Calibri" w:cs="Calibri"/>
          <w:b/>
          <w:bCs/>
          <w:sz w:val="28"/>
          <w:szCs w:val="28"/>
          <w:lang w:val="en-US"/>
        </w:rPr>
        <w:t>:</w:t>
      </w:r>
      <w:r w:rsidRPr="00897825">
        <w:t xml:space="preserve"> </w:t>
      </w:r>
      <w:proofErr w:type="spellStart"/>
      <w:r w:rsidRPr="00897825">
        <w:rPr>
          <w:rFonts w:ascii="Calibri" w:hAnsi="Calibri" w:cs="Calibri"/>
          <w:lang w:val="en-US"/>
        </w:rPr>
        <w:t>Políticas</w:t>
      </w:r>
      <w:proofErr w:type="spellEnd"/>
      <w:r w:rsidRPr="00897825">
        <w:rPr>
          <w:rFonts w:ascii="Calibri" w:hAnsi="Calibri" w:cs="Calibri"/>
          <w:lang w:val="en-US"/>
        </w:rPr>
        <w:t xml:space="preserve"> </w:t>
      </w:r>
      <w:proofErr w:type="spellStart"/>
      <w:r w:rsidRPr="00897825">
        <w:rPr>
          <w:rFonts w:ascii="Calibri" w:hAnsi="Calibri" w:cs="Calibri"/>
          <w:lang w:val="en-US"/>
        </w:rPr>
        <w:t>públicas</w:t>
      </w:r>
      <w:proofErr w:type="spellEnd"/>
      <w:r w:rsidRPr="00897825">
        <w:rPr>
          <w:rFonts w:ascii="Calibri" w:hAnsi="Calibri" w:cs="Calibri"/>
          <w:lang w:val="en-US"/>
        </w:rPr>
        <w:t xml:space="preserve">, </w:t>
      </w:r>
      <w:proofErr w:type="spellStart"/>
      <w:r w:rsidRPr="00897825">
        <w:rPr>
          <w:rFonts w:ascii="Calibri" w:hAnsi="Calibri" w:cs="Calibri"/>
          <w:lang w:val="en-US"/>
        </w:rPr>
        <w:t>Direito</w:t>
      </w:r>
      <w:proofErr w:type="spellEnd"/>
      <w:r w:rsidRPr="00897825">
        <w:rPr>
          <w:rFonts w:ascii="Calibri" w:hAnsi="Calibri" w:cs="Calibri"/>
          <w:lang w:val="en-US"/>
        </w:rPr>
        <w:t xml:space="preserve"> à </w:t>
      </w:r>
      <w:proofErr w:type="spellStart"/>
      <w:r w:rsidRPr="00897825">
        <w:rPr>
          <w:rFonts w:ascii="Calibri" w:hAnsi="Calibri" w:cs="Calibri"/>
          <w:lang w:val="en-US"/>
        </w:rPr>
        <w:t>moradia</w:t>
      </w:r>
      <w:proofErr w:type="spellEnd"/>
      <w:r w:rsidRPr="00897825">
        <w:rPr>
          <w:rFonts w:ascii="Calibri" w:hAnsi="Calibri" w:cs="Calibri"/>
          <w:lang w:val="en-US"/>
        </w:rPr>
        <w:t xml:space="preserve">, Estado de </w:t>
      </w:r>
      <w:proofErr w:type="spellStart"/>
      <w:r w:rsidRPr="00897825">
        <w:rPr>
          <w:rFonts w:ascii="Calibri" w:hAnsi="Calibri" w:cs="Calibri"/>
          <w:lang w:val="en-US"/>
        </w:rPr>
        <w:t>bem-estar</w:t>
      </w:r>
      <w:proofErr w:type="spellEnd"/>
      <w:r w:rsidRPr="00897825">
        <w:rPr>
          <w:rFonts w:ascii="Calibri" w:hAnsi="Calibri" w:cs="Calibri"/>
          <w:lang w:val="en-US"/>
        </w:rPr>
        <w:t xml:space="preserve"> social, Posse de </w:t>
      </w:r>
      <w:proofErr w:type="spellStart"/>
      <w:r w:rsidRPr="00897825">
        <w:rPr>
          <w:rFonts w:ascii="Calibri" w:hAnsi="Calibri" w:cs="Calibri"/>
          <w:lang w:val="en-US"/>
        </w:rPr>
        <w:t>moradia</w:t>
      </w:r>
      <w:proofErr w:type="spellEnd"/>
      <w:r w:rsidRPr="00897825">
        <w:rPr>
          <w:rFonts w:ascii="Calibri" w:hAnsi="Calibri" w:cs="Calibri"/>
          <w:lang w:val="en-US"/>
        </w:rPr>
        <w:t>, Coesão territorial</w:t>
      </w:r>
    </w:p>
    <w:p w14:paraId="582E3886" w14:textId="77777777" w:rsidR="0091056B" w:rsidRDefault="0091056B" w:rsidP="00232B41">
      <w:pPr>
        <w:widowControl w:val="0"/>
        <w:jc w:val="both"/>
        <w:rPr>
          <w:rFonts w:ascii="Calibri" w:hAnsi="Calibri" w:cs="Calibri"/>
          <w:lang w:val="en-US"/>
        </w:rPr>
      </w:pPr>
    </w:p>
    <w:p w14:paraId="736CF956" w14:textId="3D959652" w:rsidR="0091056B" w:rsidRPr="001C37FF" w:rsidRDefault="0091056B" w:rsidP="0091056B">
      <w:pPr>
        <w:spacing w:line="360" w:lineRule="auto"/>
        <w:jc w:val="both"/>
        <w:rPr>
          <w:rFonts w:ascii="Calibri" w:hAnsi="Calibri" w:cs="Calibri"/>
        </w:rPr>
      </w:pPr>
      <w:r w:rsidRPr="001C37FF">
        <w:rPr>
          <w:rFonts w:ascii="Calibri" w:hAnsi="Calibri" w:cs="Calibri"/>
          <w:b/>
          <w:bCs/>
        </w:rPr>
        <w:t>Fecha Recepción:</w:t>
      </w:r>
      <w:r w:rsidRPr="001C37FF">
        <w:rPr>
          <w:rFonts w:ascii="Calibri" w:hAnsi="Calibri" w:cs="Calibri"/>
        </w:rPr>
        <w:t xml:space="preserve"> </w:t>
      </w:r>
      <w:proofErr w:type="gramStart"/>
      <w:r w:rsidRPr="001C37FF">
        <w:rPr>
          <w:rFonts w:ascii="Calibri" w:hAnsi="Calibri" w:cs="Calibri"/>
        </w:rPr>
        <w:t>enero  2025</w:t>
      </w:r>
      <w:proofErr w:type="gramEnd"/>
      <w:r w:rsidRPr="001C37FF">
        <w:rPr>
          <w:rFonts w:ascii="Calibri" w:hAnsi="Calibri" w:cs="Calibri"/>
        </w:rPr>
        <w:t xml:space="preserve">                              </w:t>
      </w:r>
      <w:r w:rsidRPr="001C37FF">
        <w:rPr>
          <w:rFonts w:ascii="Calibri" w:hAnsi="Calibri" w:cs="Calibri"/>
          <w:b/>
          <w:bCs/>
        </w:rPr>
        <w:t>Fecha Aceptación:</w:t>
      </w:r>
      <w:r w:rsidRPr="001C37FF">
        <w:rPr>
          <w:rFonts w:ascii="Calibri" w:hAnsi="Calibri" w:cs="Calibri"/>
        </w:rPr>
        <w:t xml:space="preserve"> </w:t>
      </w:r>
      <w:proofErr w:type="gramStart"/>
      <w:r w:rsidR="008C666C">
        <w:rPr>
          <w:rFonts w:ascii="Calibri" w:hAnsi="Calibri" w:cs="Calibri"/>
        </w:rPr>
        <w:t>marzo</w:t>
      </w:r>
      <w:r w:rsidRPr="001C37FF">
        <w:rPr>
          <w:rFonts w:ascii="Calibri" w:hAnsi="Calibri" w:cs="Calibri"/>
        </w:rPr>
        <w:t xml:space="preserve">  2025</w:t>
      </w:r>
      <w:proofErr w:type="gramEnd"/>
    </w:p>
    <w:p w14:paraId="2753D6E3" w14:textId="77777777" w:rsidR="0091056B" w:rsidRPr="0091056B" w:rsidRDefault="0091056B" w:rsidP="00232B41">
      <w:pPr>
        <w:widowControl w:val="0"/>
        <w:jc w:val="both"/>
        <w:rPr>
          <w:rFonts w:ascii="Calibri" w:hAnsi="Calibri" w:cs="Calibri"/>
        </w:rPr>
      </w:pPr>
    </w:p>
    <w:p w14:paraId="211083CB" w14:textId="77777777" w:rsidR="00897825" w:rsidRPr="00897825" w:rsidRDefault="00897825" w:rsidP="00232B41">
      <w:pPr>
        <w:widowControl w:val="0"/>
        <w:jc w:val="both"/>
        <w:rPr>
          <w:rFonts w:ascii="Calibri" w:hAnsi="Calibri" w:cs="Calibri"/>
          <w:lang w:val="en-US"/>
        </w:rPr>
      </w:pPr>
    </w:p>
    <w:p w14:paraId="6CB31FF0" w14:textId="40A9254B" w:rsidR="00F461EE" w:rsidRDefault="00277B45" w:rsidP="00CA797F">
      <w:pPr>
        <w:widowControl w:val="0"/>
        <w:spacing w:line="360" w:lineRule="auto"/>
        <w:jc w:val="center"/>
        <w:rPr>
          <w:rFonts w:ascii="Times New Roman" w:hAnsi="Times New Roman" w:cs="Times New Roman"/>
          <w:b/>
          <w:bCs/>
          <w:sz w:val="32"/>
          <w:szCs w:val="32"/>
        </w:rPr>
      </w:pPr>
      <w:r w:rsidRPr="00DA0E52">
        <w:rPr>
          <w:rFonts w:ascii="Times New Roman" w:hAnsi="Times New Roman" w:cs="Times New Roman"/>
          <w:b/>
          <w:bCs/>
          <w:sz w:val="32"/>
          <w:szCs w:val="32"/>
        </w:rPr>
        <w:t>Introducción</w:t>
      </w:r>
    </w:p>
    <w:p w14:paraId="5118E7E6" w14:textId="3A026513" w:rsidR="000273C7" w:rsidRDefault="004A6AB6" w:rsidP="008F1BDB">
      <w:pPr>
        <w:widowControl w:val="0"/>
        <w:spacing w:line="360" w:lineRule="auto"/>
        <w:ind w:firstLine="426"/>
        <w:jc w:val="both"/>
        <w:rPr>
          <w:rFonts w:ascii="Times New Roman" w:hAnsi="Times New Roman" w:cs="Times New Roman"/>
        </w:rPr>
      </w:pPr>
      <w:r w:rsidRPr="00DA0E52">
        <w:rPr>
          <w:rFonts w:ascii="Times New Roman" w:hAnsi="Times New Roman" w:cs="Times New Roman"/>
        </w:rPr>
        <w:lastRenderedPageBreak/>
        <w:t>La vivienda es un pilar básico del sistema de bienestar, pues es una condición necesaria para el desarrollo de otros derechos fundamentales como la intimidad, la educación, la dignidad humana o la salud. Para hacer esto efectivo es necesario desarrollar el artículo 47 de la Constitución Española</w:t>
      </w:r>
      <w:r w:rsidR="002232C2" w:rsidRPr="00DA0E52">
        <w:rPr>
          <w:rFonts w:ascii="Times New Roman" w:hAnsi="Times New Roman" w:cs="Times New Roman"/>
        </w:rPr>
        <w:t xml:space="preserve"> (CE)</w:t>
      </w:r>
      <w:r w:rsidR="00925302" w:rsidRPr="00DA0E52">
        <w:rPr>
          <w:rStyle w:val="Refdenotaalpie"/>
          <w:rFonts w:ascii="Times New Roman" w:hAnsi="Times New Roman" w:cs="Times New Roman"/>
        </w:rPr>
        <w:footnoteReference w:id="2"/>
      </w:r>
      <w:r w:rsidRPr="00DA0E52">
        <w:rPr>
          <w:rFonts w:ascii="Times New Roman" w:hAnsi="Times New Roman" w:cs="Times New Roman"/>
        </w:rPr>
        <w:t xml:space="preserve">, que prevé el derecho a una vivienda digna y adecuada, </w:t>
      </w:r>
      <w:r w:rsidR="006B3E4E" w:rsidRPr="00DA0E52">
        <w:rPr>
          <w:rFonts w:ascii="Times New Roman" w:hAnsi="Times New Roman" w:cs="Times New Roman"/>
        </w:rPr>
        <w:t>un principio programático (no es un derecho fundamental</w:t>
      </w:r>
      <w:r w:rsidR="006B3E4E" w:rsidRPr="00DA0E52">
        <w:rPr>
          <w:rStyle w:val="Refdenotaalpie"/>
          <w:rFonts w:ascii="Times New Roman" w:hAnsi="Times New Roman" w:cs="Times New Roman"/>
        </w:rPr>
        <w:footnoteReference w:id="3"/>
      </w:r>
      <w:r w:rsidR="006B3E4E" w:rsidRPr="00DA0E52">
        <w:rPr>
          <w:rFonts w:ascii="Times New Roman" w:hAnsi="Times New Roman" w:cs="Times New Roman"/>
        </w:rPr>
        <w:t xml:space="preserve">) </w:t>
      </w:r>
      <w:r w:rsidRPr="00DA0E52">
        <w:rPr>
          <w:rFonts w:ascii="Times New Roman" w:hAnsi="Times New Roman" w:cs="Times New Roman"/>
        </w:rPr>
        <w:t>que implica, básicamente, facilitar su acceso, que la vivienda sea digna</w:t>
      </w:r>
      <w:r w:rsidR="009B0AB5" w:rsidRPr="00DA0E52">
        <w:rPr>
          <w:rFonts w:ascii="Times New Roman" w:hAnsi="Times New Roman" w:cs="Times New Roman"/>
        </w:rPr>
        <w:t xml:space="preserve"> y</w:t>
      </w:r>
      <w:r w:rsidRPr="00DA0E52">
        <w:rPr>
          <w:rFonts w:ascii="Times New Roman" w:hAnsi="Times New Roman" w:cs="Times New Roman"/>
        </w:rPr>
        <w:t xml:space="preserve"> conciliar la tensión entre activo financiero y derecho fundamental</w:t>
      </w:r>
      <w:r w:rsidR="00F70ABB" w:rsidRPr="00DA0E52">
        <w:rPr>
          <w:rFonts w:ascii="Times New Roman" w:hAnsi="Times New Roman" w:cs="Times New Roman"/>
        </w:rPr>
        <w:t>. Asimismo</w:t>
      </w:r>
      <w:r w:rsidR="001E12A1" w:rsidRPr="00DA0E52">
        <w:rPr>
          <w:rFonts w:ascii="Times New Roman" w:hAnsi="Times New Roman" w:cs="Times New Roman"/>
        </w:rPr>
        <w:t xml:space="preserve">, </w:t>
      </w:r>
      <w:r w:rsidRPr="00DA0E52">
        <w:rPr>
          <w:rFonts w:ascii="Times New Roman" w:hAnsi="Times New Roman" w:cs="Times New Roman"/>
        </w:rPr>
        <w:t xml:space="preserve">en caso de vulnerabilidad, </w:t>
      </w:r>
      <w:r w:rsidR="001E12A1" w:rsidRPr="00DA0E52">
        <w:rPr>
          <w:rFonts w:ascii="Times New Roman" w:hAnsi="Times New Roman" w:cs="Times New Roman"/>
        </w:rPr>
        <w:t xml:space="preserve">se debe garantizar que la persona </w:t>
      </w:r>
      <w:r w:rsidRPr="00DA0E52">
        <w:rPr>
          <w:rFonts w:ascii="Times New Roman" w:hAnsi="Times New Roman" w:cs="Times New Roman"/>
        </w:rPr>
        <w:t>no se</w:t>
      </w:r>
      <w:r w:rsidR="001E12A1" w:rsidRPr="00DA0E52">
        <w:rPr>
          <w:rFonts w:ascii="Times New Roman" w:hAnsi="Times New Roman" w:cs="Times New Roman"/>
        </w:rPr>
        <w:t>a</w:t>
      </w:r>
      <w:r w:rsidRPr="00DA0E52">
        <w:rPr>
          <w:rFonts w:ascii="Times New Roman" w:hAnsi="Times New Roman" w:cs="Times New Roman"/>
        </w:rPr>
        <w:t xml:space="preserve"> desposeíd</w:t>
      </w:r>
      <w:r w:rsidR="001E12A1" w:rsidRPr="00DA0E52">
        <w:rPr>
          <w:rFonts w:ascii="Times New Roman" w:hAnsi="Times New Roman" w:cs="Times New Roman"/>
        </w:rPr>
        <w:t>a</w:t>
      </w:r>
      <w:r w:rsidRPr="00DA0E52">
        <w:rPr>
          <w:rFonts w:ascii="Times New Roman" w:hAnsi="Times New Roman" w:cs="Times New Roman"/>
        </w:rPr>
        <w:t xml:space="preserve"> </w:t>
      </w:r>
      <w:r w:rsidR="00F1175F" w:rsidRPr="00DA0E52">
        <w:rPr>
          <w:rFonts w:ascii="Times New Roman" w:hAnsi="Times New Roman" w:cs="Times New Roman"/>
        </w:rPr>
        <w:t xml:space="preserve">de su vivienda </w:t>
      </w:r>
      <w:r w:rsidRPr="00DA0E52">
        <w:rPr>
          <w:rFonts w:ascii="Times New Roman" w:hAnsi="Times New Roman" w:cs="Times New Roman"/>
        </w:rPr>
        <w:t xml:space="preserve">o que se le </w:t>
      </w:r>
      <w:r w:rsidR="00F1175F" w:rsidRPr="00DA0E52">
        <w:rPr>
          <w:rFonts w:ascii="Times New Roman" w:hAnsi="Times New Roman" w:cs="Times New Roman"/>
        </w:rPr>
        <w:t xml:space="preserve">asigne </w:t>
      </w:r>
      <w:r w:rsidRPr="00DA0E52">
        <w:rPr>
          <w:rFonts w:ascii="Times New Roman" w:hAnsi="Times New Roman" w:cs="Times New Roman"/>
        </w:rPr>
        <w:t>una alternativa adecuada</w:t>
      </w:r>
      <w:r w:rsidR="00354012" w:rsidRPr="00DA0E52">
        <w:rPr>
          <w:rFonts w:ascii="Times New Roman" w:hAnsi="Times New Roman" w:cs="Times New Roman"/>
        </w:rPr>
        <w:t xml:space="preserve"> (</w:t>
      </w:r>
      <w:r w:rsidR="004413A8" w:rsidRPr="00DA0E52">
        <w:rPr>
          <w:rFonts w:ascii="Times New Roman" w:hAnsi="Times New Roman" w:cs="Times New Roman"/>
        </w:rPr>
        <w:t>Nasarre Aznar</w:t>
      </w:r>
      <w:r w:rsidR="00354012" w:rsidRPr="00DA0E52">
        <w:rPr>
          <w:rFonts w:ascii="Times New Roman" w:hAnsi="Times New Roman" w:cs="Times New Roman"/>
        </w:rPr>
        <w:t>, 2017</w:t>
      </w:r>
      <w:r w:rsidR="00A41091" w:rsidRPr="00DA0E52">
        <w:rPr>
          <w:rFonts w:ascii="Times New Roman" w:hAnsi="Times New Roman" w:cs="Times New Roman"/>
        </w:rPr>
        <w:t>, 48</w:t>
      </w:r>
      <w:r w:rsidR="00354012" w:rsidRPr="00DA0E52">
        <w:rPr>
          <w:rFonts w:ascii="Times New Roman" w:hAnsi="Times New Roman" w:cs="Times New Roman"/>
        </w:rPr>
        <w:t>)</w:t>
      </w:r>
      <w:r w:rsidR="008D28DE" w:rsidRPr="00DA0E52">
        <w:rPr>
          <w:rFonts w:ascii="Times New Roman" w:hAnsi="Times New Roman" w:cs="Times New Roman"/>
        </w:rPr>
        <w:t>.</w:t>
      </w:r>
      <w:r w:rsidR="00001E37" w:rsidRPr="00DA0E52">
        <w:rPr>
          <w:rFonts w:ascii="Times New Roman" w:hAnsi="Times New Roman" w:cs="Times New Roman"/>
        </w:rPr>
        <w:t xml:space="preserve"> </w:t>
      </w:r>
      <w:r w:rsidRPr="00DA0E52">
        <w:rPr>
          <w:rFonts w:ascii="Times New Roman" w:hAnsi="Times New Roman" w:cs="Times New Roman"/>
        </w:rPr>
        <w:t>La presente contribución se centrará principalmente en el primer aspecto, es decir, en facilitar el acceso a la vivienda y cómo esto contribuye al bienestar de las familias, pues reducir las dificultades en el acceso a la vivienda de calidad es crucial para mejorar las tasas de natalidad, favorecer la capacidad de consumo y ahorro de los hogares, evitando, por esta vía, un incremento de la desigualdad, tanto de renta como de riqueza</w:t>
      </w:r>
      <w:r w:rsidR="00C31C4C" w:rsidRPr="00DA0E52">
        <w:rPr>
          <w:rStyle w:val="Refdenotaalpie"/>
          <w:rFonts w:ascii="Times New Roman" w:hAnsi="Times New Roman" w:cs="Times New Roman"/>
        </w:rPr>
        <w:footnoteReference w:id="4"/>
      </w:r>
      <w:r w:rsidR="003A20BF" w:rsidRPr="00DA0E52">
        <w:rPr>
          <w:rFonts w:ascii="Times New Roman" w:hAnsi="Times New Roman" w:cs="Times New Roman"/>
        </w:rPr>
        <w:t>.</w:t>
      </w:r>
      <w:r w:rsidR="00E550E8" w:rsidRPr="00DA0E52">
        <w:rPr>
          <w:rFonts w:ascii="Times New Roman" w:hAnsi="Times New Roman" w:cs="Times New Roman"/>
        </w:rPr>
        <w:t xml:space="preserve"> La hipótesis de la que parte el presente trabajo</w:t>
      </w:r>
      <w:r w:rsidR="00586624" w:rsidRPr="00DA0E52">
        <w:rPr>
          <w:rFonts w:ascii="Times New Roman" w:hAnsi="Times New Roman" w:cs="Times New Roman"/>
        </w:rPr>
        <w:t xml:space="preserve"> es</w:t>
      </w:r>
      <w:r w:rsidR="00591361" w:rsidRPr="00DA0E52">
        <w:rPr>
          <w:rFonts w:ascii="Times New Roman" w:hAnsi="Times New Roman" w:cs="Times New Roman"/>
        </w:rPr>
        <w:t xml:space="preserve"> si las políticas de vivienda en España</w:t>
      </w:r>
      <w:r w:rsidR="00CD5CAA" w:rsidRPr="00DA0E52">
        <w:rPr>
          <w:rFonts w:ascii="Times New Roman" w:hAnsi="Times New Roman" w:cs="Times New Roman"/>
        </w:rPr>
        <w:t xml:space="preserve"> adoptadas en los últimos años han contribuido a alcanzar</w:t>
      </w:r>
      <w:r w:rsidR="00615C5A" w:rsidRPr="00DA0E52">
        <w:rPr>
          <w:rFonts w:ascii="Times New Roman" w:hAnsi="Times New Roman" w:cs="Times New Roman"/>
        </w:rPr>
        <w:t xml:space="preserve"> </w:t>
      </w:r>
      <w:r w:rsidR="000B2147" w:rsidRPr="00DA0E52">
        <w:rPr>
          <w:rFonts w:ascii="Times New Roman" w:hAnsi="Times New Roman" w:cs="Times New Roman"/>
        </w:rPr>
        <w:t xml:space="preserve">o no </w:t>
      </w:r>
      <w:r w:rsidR="00615C5A" w:rsidRPr="00DA0E52">
        <w:rPr>
          <w:rFonts w:ascii="Times New Roman" w:hAnsi="Times New Roman" w:cs="Times New Roman"/>
        </w:rPr>
        <w:t>este objetivo.</w:t>
      </w:r>
      <w:r w:rsidR="008F227C" w:rsidRPr="00DA0E52">
        <w:rPr>
          <w:rFonts w:ascii="Times New Roman" w:hAnsi="Times New Roman" w:cs="Times New Roman"/>
        </w:rPr>
        <w:t xml:space="preserve"> Para ello se</w:t>
      </w:r>
      <w:r w:rsidR="007D7437" w:rsidRPr="00DA0E52">
        <w:rPr>
          <w:rFonts w:ascii="Times New Roman" w:hAnsi="Times New Roman" w:cs="Times New Roman"/>
        </w:rPr>
        <w:t xml:space="preserve"> describirán y se</w:t>
      </w:r>
      <w:r w:rsidR="008F227C" w:rsidRPr="00DA0E52">
        <w:rPr>
          <w:rFonts w:ascii="Times New Roman" w:hAnsi="Times New Roman" w:cs="Times New Roman"/>
        </w:rPr>
        <w:t xml:space="preserve"> </w:t>
      </w:r>
      <w:r w:rsidR="00F030AE" w:rsidRPr="00DA0E52">
        <w:rPr>
          <w:rFonts w:ascii="Times New Roman" w:hAnsi="Times New Roman" w:cs="Times New Roman"/>
        </w:rPr>
        <w:t xml:space="preserve">analizarán </w:t>
      </w:r>
      <w:r w:rsidR="007D7437" w:rsidRPr="00DA0E52">
        <w:rPr>
          <w:rFonts w:ascii="Times New Roman" w:hAnsi="Times New Roman" w:cs="Times New Roman"/>
        </w:rPr>
        <w:t xml:space="preserve">el impacto de dichas políticas y se </w:t>
      </w:r>
      <w:r w:rsidR="008F1BDB" w:rsidRPr="00DA0E52">
        <w:rPr>
          <w:rFonts w:ascii="Times New Roman" w:hAnsi="Times New Roman" w:cs="Times New Roman"/>
        </w:rPr>
        <w:t>propondrán</w:t>
      </w:r>
      <w:r w:rsidR="009C1DA1" w:rsidRPr="00DA0E52">
        <w:rPr>
          <w:rFonts w:ascii="Times New Roman" w:hAnsi="Times New Roman" w:cs="Times New Roman"/>
        </w:rPr>
        <w:t>, en su caso,</w:t>
      </w:r>
      <w:r w:rsidR="007D7437" w:rsidRPr="00DA0E52">
        <w:rPr>
          <w:rFonts w:ascii="Times New Roman" w:hAnsi="Times New Roman" w:cs="Times New Roman"/>
        </w:rPr>
        <w:t xml:space="preserve"> soluciones estructurales</w:t>
      </w:r>
      <w:r w:rsidR="008F1BDB" w:rsidRPr="00DA0E52">
        <w:rPr>
          <w:rFonts w:ascii="Times New Roman" w:hAnsi="Times New Roman" w:cs="Times New Roman"/>
        </w:rPr>
        <w:t>.</w:t>
      </w:r>
    </w:p>
    <w:p w14:paraId="76C5C919" w14:textId="77777777" w:rsidR="00DA0E52" w:rsidRPr="00DA0E52" w:rsidRDefault="00DA0E52" w:rsidP="008F1BDB">
      <w:pPr>
        <w:widowControl w:val="0"/>
        <w:spacing w:line="360" w:lineRule="auto"/>
        <w:ind w:firstLine="426"/>
        <w:jc w:val="both"/>
        <w:rPr>
          <w:rFonts w:ascii="Times New Roman" w:hAnsi="Times New Roman" w:cs="Times New Roman"/>
        </w:rPr>
      </w:pPr>
    </w:p>
    <w:p w14:paraId="78EF192A" w14:textId="04817CD0" w:rsidR="004D136F" w:rsidRPr="00A01F16" w:rsidRDefault="004D136F" w:rsidP="00A01F16">
      <w:pPr>
        <w:pStyle w:val="Prrafodelista"/>
        <w:widowControl w:val="0"/>
        <w:spacing w:line="360" w:lineRule="auto"/>
        <w:jc w:val="center"/>
        <w:rPr>
          <w:rFonts w:ascii="Times New Roman" w:eastAsia="Times New Roman" w:hAnsi="Times New Roman" w:cs="Times New Roman"/>
          <w:b/>
          <w:bCs/>
          <w:kern w:val="0"/>
          <w:sz w:val="32"/>
          <w:szCs w:val="32"/>
          <w:lang w:eastAsia="es-ES_tradnl"/>
          <w14:ligatures w14:val="none"/>
        </w:rPr>
      </w:pPr>
      <w:r w:rsidRPr="00A01F16">
        <w:rPr>
          <w:rFonts w:ascii="Times New Roman" w:eastAsia="Times New Roman" w:hAnsi="Times New Roman" w:cs="Times New Roman"/>
          <w:b/>
          <w:bCs/>
          <w:kern w:val="0"/>
          <w:sz w:val="32"/>
          <w:szCs w:val="32"/>
          <w:lang w:eastAsia="es-ES_tradnl"/>
          <w14:ligatures w14:val="none"/>
        </w:rPr>
        <w:t>Metodología</w:t>
      </w:r>
    </w:p>
    <w:p w14:paraId="55696527" w14:textId="5277496B" w:rsidR="00CA1F34" w:rsidRPr="00DA0E52" w:rsidRDefault="004D136F" w:rsidP="00CA797F">
      <w:pPr>
        <w:widowControl w:val="0"/>
        <w:spacing w:line="360" w:lineRule="auto"/>
        <w:ind w:firstLine="284"/>
        <w:jc w:val="both"/>
        <w:rPr>
          <w:rFonts w:ascii="Times New Roman" w:hAnsi="Times New Roman" w:cs="Times New Roman"/>
        </w:rPr>
      </w:pPr>
      <w:r w:rsidRPr="00DA0E52">
        <w:rPr>
          <w:rFonts w:ascii="Times New Roman" w:eastAsia="Times New Roman" w:hAnsi="Times New Roman" w:cs="Times New Roman"/>
          <w:kern w:val="0"/>
          <w:lang w:eastAsia="es-ES_tradnl"/>
          <w14:ligatures w14:val="none"/>
        </w:rPr>
        <w:t xml:space="preserve">El presente trabajo adopta como metodología principal el método exegético, propio de las ciencias jurídicas, de modo que se analizan los textos legales que tienen relación con el desarrollo del derecho a la vivienda en España desde un punto de vista doctrinal y jurisprudencial. </w:t>
      </w:r>
      <w:r w:rsidR="00314226" w:rsidRPr="00DA0E52">
        <w:rPr>
          <w:rFonts w:ascii="Times New Roman" w:eastAsia="Times New Roman" w:hAnsi="Times New Roman" w:cs="Times New Roman"/>
          <w:kern w:val="0"/>
          <w:lang w:eastAsia="es-ES_tradnl"/>
          <w14:ligatures w14:val="none"/>
        </w:rPr>
        <w:t xml:space="preserve">Esta aproximación se complementa con la aportación de </w:t>
      </w:r>
      <w:r w:rsidR="00462D65" w:rsidRPr="00DA0E52">
        <w:rPr>
          <w:rFonts w:ascii="Times New Roman" w:eastAsia="Times New Roman" w:hAnsi="Times New Roman" w:cs="Times New Roman"/>
          <w:kern w:val="0"/>
          <w:lang w:eastAsia="es-ES_tradnl"/>
          <w14:ligatures w14:val="none"/>
        </w:rPr>
        <w:t>evidencia</w:t>
      </w:r>
      <w:r w:rsidR="00116D19" w:rsidRPr="00DA0E52">
        <w:rPr>
          <w:rFonts w:ascii="Times New Roman" w:eastAsia="Times New Roman" w:hAnsi="Times New Roman" w:cs="Times New Roman"/>
          <w:kern w:val="0"/>
          <w:lang w:eastAsia="es-ES_tradnl"/>
          <w14:ligatures w14:val="none"/>
        </w:rPr>
        <w:t>s</w:t>
      </w:r>
      <w:r w:rsidR="00462D65" w:rsidRPr="00DA0E52">
        <w:rPr>
          <w:rFonts w:ascii="Times New Roman" w:eastAsia="Times New Roman" w:hAnsi="Times New Roman" w:cs="Times New Roman"/>
          <w:kern w:val="0"/>
          <w:lang w:eastAsia="es-ES_tradnl"/>
          <w14:ligatures w14:val="none"/>
        </w:rPr>
        <w:t xml:space="preserve"> empírica</w:t>
      </w:r>
      <w:r w:rsidR="00116D19" w:rsidRPr="00DA0E52">
        <w:rPr>
          <w:rFonts w:ascii="Times New Roman" w:eastAsia="Times New Roman" w:hAnsi="Times New Roman" w:cs="Times New Roman"/>
          <w:kern w:val="0"/>
          <w:lang w:eastAsia="es-ES_tradnl"/>
          <w14:ligatures w14:val="none"/>
        </w:rPr>
        <w:t>s de tipo cuantitativo y cualitativo (</w:t>
      </w:r>
      <w:r w:rsidR="008F1BDB" w:rsidRPr="00DA0E52">
        <w:rPr>
          <w:rFonts w:ascii="Times New Roman" w:eastAsia="Times New Roman" w:hAnsi="Times New Roman" w:cs="Times New Roman"/>
          <w:kern w:val="0"/>
          <w:lang w:eastAsia="es-ES_tradnl"/>
          <w14:ligatures w14:val="none"/>
        </w:rPr>
        <w:t xml:space="preserve">como </w:t>
      </w:r>
      <w:r w:rsidR="00606BC3" w:rsidRPr="00DA0E52">
        <w:rPr>
          <w:rFonts w:ascii="Times New Roman" w:eastAsia="Times New Roman" w:hAnsi="Times New Roman" w:cs="Times New Roman"/>
          <w:kern w:val="0"/>
          <w:lang w:eastAsia="es-ES_tradnl"/>
          <w14:ligatures w14:val="none"/>
        </w:rPr>
        <w:t xml:space="preserve">el resultado de encuestas realizadas o el </w:t>
      </w:r>
      <w:r w:rsidR="00116D19" w:rsidRPr="00DA0E52">
        <w:rPr>
          <w:rFonts w:ascii="Times New Roman" w:eastAsia="Times New Roman" w:hAnsi="Times New Roman" w:cs="Times New Roman"/>
          <w:kern w:val="0"/>
          <w:lang w:eastAsia="es-ES_tradnl"/>
          <w14:ligatures w14:val="none"/>
        </w:rPr>
        <w:t xml:space="preserve">análisis de sentencias judiciales </w:t>
      </w:r>
      <w:r w:rsidR="00C34211" w:rsidRPr="00DA0E52">
        <w:rPr>
          <w:rFonts w:ascii="Times New Roman" w:eastAsia="Times New Roman" w:hAnsi="Times New Roman" w:cs="Times New Roman"/>
          <w:kern w:val="0"/>
          <w:lang w:eastAsia="es-ES_tradnl"/>
          <w14:ligatures w14:val="none"/>
        </w:rPr>
        <w:t>a través de</w:t>
      </w:r>
      <w:r w:rsidR="00116D19" w:rsidRPr="00DA0E52">
        <w:rPr>
          <w:rFonts w:ascii="Times New Roman" w:eastAsia="Times New Roman" w:hAnsi="Times New Roman" w:cs="Times New Roman"/>
          <w:kern w:val="0"/>
          <w:lang w:eastAsia="es-ES_tradnl"/>
          <w14:ligatures w14:val="none"/>
        </w:rPr>
        <w:t xml:space="preserve"> la ciencia de datos)</w:t>
      </w:r>
      <w:r w:rsidRPr="00DA0E52">
        <w:rPr>
          <w:rFonts w:ascii="Times New Roman" w:hAnsi="Times New Roman" w:cs="Times New Roman"/>
        </w:rPr>
        <w:t xml:space="preserve"> </w:t>
      </w:r>
      <w:r w:rsidR="00116D19" w:rsidRPr="00DA0E52">
        <w:rPr>
          <w:rFonts w:ascii="Times New Roman" w:hAnsi="Times New Roman" w:cs="Times New Roman"/>
        </w:rPr>
        <w:t>fruto de los proyectos de investigación</w:t>
      </w:r>
      <w:r w:rsidR="0016109D" w:rsidRPr="00DA0E52">
        <w:rPr>
          <w:rFonts w:ascii="Times New Roman" w:hAnsi="Times New Roman" w:cs="Times New Roman"/>
        </w:rPr>
        <w:t xml:space="preserve"> de la Cátedra UNESCO de Vivienda, al tiempo que se </w:t>
      </w:r>
      <w:r w:rsidR="00512A88" w:rsidRPr="00DA0E52">
        <w:rPr>
          <w:rFonts w:ascii="Times New Roman" w:hAnsi="Times New Roman" w:cs="Times New Roman"/>
        </w:rPr>
        <w:t xml:space="preserve">aportan los informes </w:t>
      </w:r>
      <w:r w:rsidR="00CA0F1C" w:rsidRPr="00DA0E52">
        <w:rPr>
          <w:rFonts w:ascii="Times New Roman" w:hAnsi="Times New Roman" w:cs="Times New Roman"/>
        </w:rPr>
        <w:t xml:space="preserve">más relevantes recolectados </w:t>
      </w:r>
      <w:r w:rsidR="00512A88" w:rsidRPr="00DA0E52">
        <w:rPr>
          <w:rFonts w:ascii="Times New Roman" w:hAnsi="Times New Roman" w:cs="Times New Roman"/>
        </w:rPr>
        <w:t>de</w:t>
      </w:r>
      <w:r w:rsidR="0016109D" w:rsidRPr="00DA0E52">
        <w:rPr>
          <w:rFonts w:ascii="Times New Roman" w:hAnsi="Times New Roman" w:cs="Times New Roman"/>
        </w:rPr>
        <w:t xml:space="preserve"> </w:t>
      </w:r>
      <w:r w:rsidR="00512A88" w:rsidRPr="00DA0E52">
        <w:rPr>
          <w:rFonts w:ascii="Times New Roman" w:hAnsi="Times New Roman" w:cs="Times New Roman"/>
        </w:rPr>
        <w:t>diversas</w:t>
      </w:r>
      <w:r w:rsidR="0016109D" w:rsidRPr="00DA0E52">
        <w:rPr>
          <w:rFonts w:ascii="Times New Roman" w:hAnsi="Times New Roman" w:cs="Times New Roman"/>
        </w:rPr>
        <w:t xml:space="preserve"> </w:t>
      </w:r>
      <w:r w:rsidR="00D5313D" w:rsidRPr="00DA0E52">
        <w:rPr>
          <w:rFonts w:ascii="Times New Roman" w:hAnsi="Times New Roman" w:cs="Times New Roman"/>
        </w:rPr>
        <w:t xml:space="preserve">instituciones de </w:t>
      </w:r>
      <w:r w:rsidR="0016109D" w:rsidRPr="00DA0E52">
        <w:rPr>
          <w:rFonts w:ascii="Times New Roman" w:hAnsi="Times New Roman" w:cs="Times New Roman"/>
        </w:rPr>
        <w:t>ámbito autonómico, nacional o europeo</w:t>
      </w:r>
      <w:r w:rsidR="00606BC3" w:rsidRPr="00DA0E52">
        <w:rPr>
          <w:rFonts w:ascii="Times New Roman" w:hAnsi="Times New Roman" w:cs="Times New Roman"/>
        </w:rPr>
        <w:t>,</w:t>
      </w:r>
      <w:r w:rsidR="0016109D" w:rsidRPr="00DA0E52">
        <w:rPr>
          <w:rFonts w:ascii="Times New Roman" w:hAnsi="Times New Roman" w:cs="Times New Roman"/>
        </w:rPr>
        <w:t xml:space="preserve"> </w:t>
      </w:r>
      <w:r w:rsidR="00481BE3" w:rsidRPr="00DA0E52">
        <w:rPr>
          <w:rFonts w:ascii="Times New Roman" w:hAnsi="Times New Roman" w:cs="Times New Roman"/>
        </w:rPr>
        <w:t xml:space="preserve">priorizándose las </w:t>
      </w:r>
      <w:r w:rsidR="00CA1F34" w:rsidRPr="00DA0E52">
        <w:rPr>
          <w:rFonts w:ascii="Times New Roman" w:hAnsi="Times New Roman" w:cs="Times New Roman"/>
        </w:rPr>
        <w:t xml:space="preserve">fuentes </w:t>
      </w:r>
      <w:r w:rsidR="00734041" w:rsidRPr="00DA0E52">
        <w:rPr>
          <w:rFonts w:ascii="Times New Roman" w:hAnsi="Times New Roman" w:cs="Times New Roman"/>
        </w:rPr>
        <w:t>de organismos oficiales</w:t>
      </w:r>
      <w:r w:rsidRPr="00DA0E52">
        <w:rPr>
          <w:rFonts w:ascii="Times New Roman" w:hAnsi="Times New Roman" w:cs="Times New Roman"/>
        </w:rPr>
        <w:t>.</w:t>
      </w:r>
    </w:p>
    <w:p w14:paraId="22945E62" w14:textId="77777777" w:rsidR="00FA5AA6" w:rsidRPr="00F47564" w:rsidRDefault="00FA5AA6" w:rsidP="00CA797F">
      <w:pPr>
        <w:widowControl w:val="0"/>
        <w:spacing w:line="360" w:lineRule="auto"/>
        <w:ind w:firstLine="284"/>
        <w:jc w:val="both"/>
        <w:rPr>
          <w:rFonts w:ascii="Times New Roman" w:hAnsi="Times New Roman" w:cs="Times New Roman"/>
        </w:rPr>
      </w:pPr>
    </w:p>
    <w:p w14:paraId="0347404D" w14:textId="769DFD5E" w:rsidR="004D136F" w:rsidRPr="00DA0E52" w:rsidRDefault="00973E3B" w:rsidP="00A01F16">
      <w:pPr>
        <w:widowControl w:val="0"/>
        <w:spacing w:line="360" w:lineRule="auto"/>
        <w:jc w:val="center"/>
        <w:rPr>
          <w:rFonts w:ascii="Times New Roman" w:hAnsi="Times New Roman" w:cs="Times New Roman"/>
          <w:b/>
          <w:bCs/>
          <w:sz w:val="32"/>
          <w:szCs w:val="32"/>
        </w:rPr>
      </w:pPr>
      <w:r w:rsidRPr="00DA0E52">
        <w:rPr>
          <w:rFonts w:ascii="Times New Roman" w:hAnsi="Times New Roman" w:cs="Times New Roman"/>
          <w:b/>
          <w:bCs/>
          <w:sz w:val="32"/>
          <w:szCs w:val="32"/>
        </w:rPr>
        <w:lastRenderedPageBreak/>
        <w:t>Resultados</w:t>
      </w:r>
    </w:p>
    <w:p w14:paraId="7A06C39F" w14:textId="14BD2048" w:rsidR="00F461EE" w:rsidRPr="00DA0E52" w:rsidRDefault="004A6AB6" w:rsidP="00CA797F">
      <w:pPr>
        <w:widowControl w:val="0"/>
        <w:spacing w:line="360" w:lineRule="auto"/>
        <w:ind w:firstLine="284"/>
        <w:jc w:val="both"/>
        <w:rPr>
          <w:rFonts w:ascii="Times New Roman" w:hAnsi="Times New Roman" w:cs="Times New Roman"/>
        </w:rPr>
      </w:pPr>
      <w:r w:rsidRPr="00DA0E52">
        <w:rPr>
          <w:rFonts w:ascii="Times New Roman" w:hAnsi="Times New Roman" w:cs="Times New Roman"/>
        </w:rPr>
        <w:t>En el contexto actual seguimos sufriendo las consecuencias de la crisis financiera mundial de 2007, que ahora se combina con los efectos de las crisis derivadas de la COVID</w:t>
      </w:r>
      <w:r w:rsidR="001725E7" w:rsidRPr="00DA0E52">
        <w:rPr>
          <w:rFonts w:ascii="Times New Roman" w:hAnsi="Times New Roman" w:cs="Times New Roman"/>
        </w:rPr>
        <w:t>-</w:t>
      </w:r>
      <w:r w:rsidRPr="00DA0E52">
        <w:rPr>
          <w:rFonts w:ascii="Times New Roman" w:hAnsi="Times New Roman" w:cs="Times New Roman"/>
        </w:rPr>
        <w:t xml:space="preserve">19 (2020-2021) y la inflación (2022). En efecto, </w:t>
      </w:r>
      <w:r w:rsidR="00611A5D" w:rsidRPr="00DA0E52">
        <w:rPr>
          <w:rFonts w:ascii="Times New Roman" w:hAnsi="Times New Roman" w:cs="Times New Roman"/>
        </w:rPr>
        <w:t>la</w:t>
      </w:r>
      <w:r w:rsidRPr="00DA0E52">
        <w:rPr>
          <w:rFonts w:ascii="Times New Roman" w:hAnsi="Times New Roman" w:cs="Times New Roman"/>
        </w:rPr>
        <w:t xml:space="preserve"> constante urbanización</w:t>
      </w:r>
      <w:r w:rsidR="00B454AF" w:rsidRPr="00DA0E52">
        <w:rPr>
          <w:rStyle w:val="Refdenotaalpie"/>
          <w:rFonts w:ascii="Times New Roman" w:hAnsi="Times New Roman" w:cs="Times New Roman"/>
          <w:color w:val="000000"/>
        </w:rPr>
        <w:footnoteReference w:id="5"/>
      </w:r>
      <w:r w:rsidR="00F461EE" w:rsidRPr="00DA0E52">
        <w:rPr>
          <w:rFonts w:ascii="Times New Roman" w:hAnsi="Times New Roman" w:cs="Times New Roman"/>
        </w:rPr>
        <w:t xml:space="preserve">, </w:t>
      </w:r>
      <w:r w:rsidRPr="00DA0E52">
        <w:rPr>
          <w:rFonts w:ascii="Times New Roman" w:hAnsi="Times New Roman" w:cs="Times New Roman"/>
        </w:rPr>
        <w:t xml:space="preserve">junto con el proceso de vaciamiento del espacio rural y la falta de viviendas sociales y asequibles, ha contribuido a que la vivienda sea inasequible a las principales zonas urbanas de nuestro país </w:t>
      </w:r>
      <w:r w:rsidR="00AE7ECB" w:rsidRPr="00DA0E52">
        <w:rPr>
          <w:rFonts w:ascii="Times New Roman" w:hAnsi="Times New Roman" w:cs="Times New Roman"/>
        </w:rPr>
        <w:t>para</w:t>
      </w:r>
      <w:r w:rsidRPr="00DA0E52">
        <w:rPr>
          <w:rFonts w:ascii="Times New Roman" w:hAnsi="Times New Roman" w:cs="Times New Roman"/>
        </w:rPr>
        <w:t xml:space="preserve"> las familias con menor poder adquisitivo. Desgraciadamente, las políticas públicas de vivienda multinivel han sido erráticas en los últimos diecisiete años, llevadas a cabo sin una base científica detrás</w:t>
      </w:r>
      <w:r w:rsidR="00920CE5" w:rsidRPr="00DA0E52">
        <w:rPr>
          <w:rFonts w:ascii="Times New Roman" w:hAnsi="Times New Roman" w:cs="Times New Roman"/>
        </w:rPr>
        <w:t xml:space="preserve">. </w:t>
      </w:r>
      <w:r w:rsidR="00494735" w:rsidRPr="00DA0E52">
        <w:rPr>
          <w:rFonts w:ascii="Times New Roman" w:hAnsi="Times New Roman" w:cs="Times New Roman"/>
        </w:rPr>
        <w:t>Así lo ha demostrado empíricamente</w:t>
      </w:r>
      <w:r w:rsidR="00920CE5" w:rsidRPr="00DA0E52">
        <w:rPr>
          <w:rFonts w:ascii="Times New Roman" w:hAnsi="Times New Roman" w:cs="Times New Roman"/>
        </w:rPr>
        <w:t xml:space="preserve"> el proyecto “Data </w:t>
      </w:r>
      <w:proofErr w:type="spellStart"/>
      <w:r w:rsidR="00920CE5" w:rsidRPr="00DA0E52">
        <w:rPr>
          <w:rFonts w:ascii="Times New Roman" w:hAnsi="Times New Roman" w:cs="Times New Roman"/>
        </w:rPr>
        <w:t>science</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of</w:t>
      </w:r>
      <w:proofErr w:type="spellEnd"/>
      <w:r w:rsidR="00920CE5" w:rsidRPr="00DA0E52">
        <w:rPr>
          <w:rFonts w:ascii="Times New Roman" w:hAnsi="Times New Roman" w:cs="Times New Roman"/>
        </w:rPr>
        <w:t xml:space="preserve"> judicial </w:t>
      </w:r>
      <w:proofErr w:type="spellStart"/>
      <w:r w:rsidR="00920CE5" w:rsidRPr="00DA0E52">
        <w:rPr>
          <w:rFonts w:ascii="Times New Roman" w:hAnsi="Times New Roman" w:cs="Times New Roman"/>
        </w:rPr>
        <w:t>decisions</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for</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evidence-based</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housing</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policies</w:t>
      </w:r>
      <w:proofErr w:type="spellEnd"/>
      <w:r w:rsidR="00920CE5" w:rsidRPr="00DA0E52">
        <w:rPr>
          <w:rFonts w:ascii="Times New Roman" w:hAnsi="Times New Roman" w:cs="Times New Roman"/>
        </w:rPr>
        <w:t xml:space="preserve"> in </w:t>
      </w:r>
      <w:proofErr w:type="spellStart"/>
      <w:r w:rsidR="00920CE5" w:rsidRPr="00DA0E52">
        <w:rPr>
          <w:rFonts w:ascii="Times New Roman" w:hAnsi="Times New Roman" w:cs="Times New Roman"/>
        </w:rPr>
        <w:t>Spain</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DaSiHo</w:t>
      </w:r>
      <w:proofErr w:type="spellEnd"/>
      <w:r w:rsidR="00920CE5" w:rsidRPr="00DA0E52">
        <w:rPr>
          <w:rFonts w:ascii="Times New Roman" w:hAnsi="Times New Roman" w:cs="Times New Roman"/>
        </w:rPr>
        <w:t>)”</w:t>
      </w:r>
      <w:r w:rsidR="00B43F00" w:rsidRPr="00DA0E52">
        <w:rPr>
          <w:rStyle w:val="Refdenotaalpie"/>
          <w:rFonts w:ascii="Times New Roman" w:hAnsi="Times New Roman" w:cs="Times New Roman"/>
        </w:rPr>
        <w:footnoteReference w:id="6"/>
      </w:r>
      <w:r w:rsidR="008741AC" w:rsidRPr="00DA0E52">
        <w:rPr>
          <w:rFonts w:ascii="Times New Roman" w:hAnsi="Times New Roman" w:cs="Times New Roman"/>
        </w:rPr>
        <w:t xml:space="preserve"> </w:t>
      </w:r>
      <w:r w:rsidR="00494735" w:rsidRPr="00DA0E52">
        <w:rPr>
          <w:rFonts w:ascii="Times New Roman" w:hAnsi="Times New Roman" w:cs="Times New Roman"/>
        </w:rPr>
        <w:t>al</w:t>
      </w:r>
      <w:r w:rsidR="008741AC" w:rsidRPr="00DA0E52">
        <w:rPr>
          <w:rFonts w:ascii="Times New Roman" w:hAnsi="Times New Roman" w:cs="Times New Roman"/>
        </w:rPr>
        <w:t xml:space="preserve"> </w:t>
      </w:r>
      <w:r w:rsidR="00BE7987" w:rsidRPr="00DA0E52">
        <w:rPr>
          <w:rFonts w:ascii="Times New Roman" w:hAnsi="Times New Roman" w:cs="Times New Roman"/>
        </w:rPr>
        <w:t xml:space="preserve">analizar sistemáticamente 26.000 decisiones judiciales relacionadas con asuntos de vivienda utilizando </w:t>
      </w:r>
      <w:r w:rsidR="00B52CAE" w:rsidRPr="00DA0E52">
        <w:rPr>
          <w:rFonts w:ascii="Times New Roman" w:hAnsi="Times New Roman" w:cs="Times New Roman"/>
        </w:rPr>
        <w:t xml:space="preserve">la metodología de la ciencia de datos </w:t>
      </w:r>
      <w:r w:rsidR="00F95A80" w:rsidRPr="00DA0E52">
        <w:rPr>
          <w:rFonts w:ascii="Times New Roman" w:hAnsi="Times New Roman" w:cs="Times New Roman"/>
        </w:rPr>
        <w:t>(</w:t>
      </w:r>
      <w:proofErr w:type="spellStart"/>
      <w:r w:rsidR="00F95A80" w:rsidRPr="00DA0E52">
        <w:rPr>
          <w:rFonts w:ascii="Times New Roman" w:hAnsi="Times New Roman" w:cs="Times New Roman"/>
        </w:rPr>
        <w:t>Garcia</w:t>
      </w:r>
      <w:proofErr w:type="spellEnd"/>
      <w:r w:rsidR="00F95A80" w:rsidRPr="00DA0E52">
        <w:rPr>
          <w:rFonts w:ascii="Times New Roman" w:hAnsi="Times New Roman" w:cs="Times New Roman"/>
        </w:rPr>
        <w:t xml:space="preserve"> Teruel y Nasarre Aznar, 2022, 183-224)</w:t>
      </w:r>
      <w:r w:rsidR="00F95A80" w:rsidRPr="00DA0E52">
        <w:rPr>
          <w:rStyle w:val="Refdenotaalpie"/>
          <w:rFonts w:ascii="Times New Roman" w:hAnsi="Times New Roman" w:cs="Times New Roman"/>
        </w:rPr>
        <w:footnoteReference w:id="7"/>
      </w:r>
      <w:r w:rsidR="00514ABC" w:rsidRPr="00DA0E52">
        <w:rPr>
          <w:rFonts w:ascii="Times New Roman" w:hAnsi="Times New Roman" w:cs="Times New Roman"/>
        </w:rPr>
        <w:t>. El</w:t>
      </w:r>
      <w:r w:rsidRPr="00DA0E52">
        <w:rPr>
          <w:rFonts w:ascii="Times New Roman" w:hAnsi="Times New Roman" w:cs="Times New Roman"/>
        </w:rPr>
        <w:t xml:space="preserve">lo </w:t>
      </w:r>
      <w:r w:rsidR="000C7420" w:rsidRPr="00DA0E52">
        <w:rPr>
          <w:rFonts w:ascii="Times New Roman" w:hAnsi="Times New Roman" w:cs="Times New Roman"/>
        </w:rPr>
        <w:t>ha derivado</w:t>
      </w:r>
      <w:r w:rsidRPr="00DA0E52">
        <w:rPr>
          <w:rFonts w:ascii="Times New Roman" w:hAnsi="Times New Roman" w:cs="Times New Roman"/>
        </w:rPr>
        <w:t xml:space="preserve"> </w:t>
      </w:r>
      <w:r w:rsidR="00D31064" w:rsidRPr="00DA0E52">
        <w:rPr>
          <w:rFonts w:ascii="Times New Roman" w:hAnsi="Times New Roman" w:cs="Times New Roman"/>
        </w:rPr>
        <w:t>en</w:t>
      </w:r>
      <w:r w:rsidRPr="00DA0E52">
        <w:rPr>
          <w:rFonts w:ascii="Times New Roman" w:hAnsi="Times New Roman" w:cs="Times New Roman"/>
        </w:rPr>
        <w:t xml:space="preserve"> una precarización progresiva de</w:t>
      </w:r>
      <w:r w:rsidR="00D31064" w:rsidRPr="00DA0E52">
        <w:rPr>
          <w:rFonts w:ascii="Times New Roman" w:hAnsi="Times New Roman" w:cs="Times New Roman"/>
        </w:rPr>
        <w:t xml:space="preserve"> la tenencia</w:t>
      </w:r>
      <w:r w:rsidRPr="00DA0E52">
        <w:rPr>
          <w:rFonts w:ascii="Times New Roman" w:hAnsi="Times New Roman" w:cs="Times New Roman"/>
        </w:rPr>
        <w:t xml:space="preserve">: </w:t>
      </w:r>
      <w:r w:rsidR="00D31064" w:rsidRPr="00DA0E52">
        <w:rPr>
          <w:rFonts w:ascii="Times New Roman" w:hAnsi="Times New Roman" w:cs="Times New Roman"/>
        </w:rPr>
        <w:t xml:space="preserve">se ha pasado </w:t>
      </w:r>
      <w:r w:rsidRPr="00DA0E52">
        <w:rPr>
          <w:rFonts w:ascii="Times New Roman" w:hAnsi="Times New Roman" w:cs="Times New Roman"/>
        </w:rPr>
        <w:t xml:space="preserve">de promover la vivienda en propiedad a </w:t>
      </w:r>
      <w:r w:rsidR="001725E7" w:rsidRPr="00DA0E52">
        <w:rPr>
          <w:rFonts w:ascii="Times New Roman" w:hAnsi="Times New Roman" w:cs="Times New Roman"/>
        </w:rPr>
        <w:t xml:space="preserve">considerar </w:t>
      </w:r>
      <w:r w:rsidRPr="00DA0E52">
        <w:rPr>
          <w:rFonts w:ascii="Times New Roman" w:hAnsi="Times New Roman" w:cs="Times New Roman"/>
        </w:rPr>
        <w:t xml:space="preserve">la </w:t>
      </w:r>
      <w:proofErr w:type="spellStart"/>
      <w:r w:rsidRPr="00DA0E52">
        <w:rPr>
          <w:rFonts w:ascii="Times New Roman" w:hAnsi="Times New Roman" w:cs="Times New Roman"/>
        </w:rPr>
        <w:t>okupación</w:t>
      </w:r>
      <w:proofErr w:type="spellEnd"/>
      <w:r w:rsidRPr="00DA0E52">
        <w:rPr>
          <w:rFonts w:ascii="Times New Roman" w:hAnsi="Times New Roman" w:cs="Times New Roman"/>
        </w:rPr>
        <w:t xml:space="preserve"> como una vía de acceso a la vivienda</w:t>
      </w:r>
      <w:r w:rsidR="001725E7" w:rsidRPr="00DA0E52">
        <w:rPr>
          <w:rFonts w:ascii="Times New Roman" w:hAnsi="Times New Roman" w:cs="Times New Roman"/>
        </w:rPr>
        <w:t>, fomentada</w:t>
      </w:r>
      <w:r w:rsidRPr="00DA0E52">
        <w:rPr>
          <w:rFonts w:ascii="Times New Roman" w:hAnsi="Times New Roman" w:cs="Times New Roman"/>
        </w:rPr>
        <w:t xml:space="preserve"> por los poderes públicos</w:t>
      </w:r>
      <w:r w:rsidR="00F461EE" w:rsidRPr="00DA0E52">
        <w:rPr>
          <w:rFonts w:ascii="Times New Roman" w:hAnsi="Times New Roman" w:cs="Times New Roman"/>
        </w:rPr>
        <w:t xml:space="preserve">. </w:t>
      </w:r>
    </w:p>
    <w:p w14:paraId="416214DF" w14:textId="282C4F4F" w:rsidR="00DA0E52" w:rsidRDefault="004A6AB6" w:rsidP="00CA797F">
      <w:pPr>
        <w:widowControl w:val="0"/>
        <w:spacing w:line="360" w:lineRule="auto"/>
        <w:jc w:val="both"/>
        <w:rPr>
          <w:rFonts w:ascii="Times New Roman" w:hAnsi="Times New Roman" w:cs="Times New Roman"/>
          <w:kern w:val="0"/>
        </w:rPr>
      </w:pPr>
      <w:r w:rsidRPr="00DA0E52">
        <w:rPr>
          <w:rFonts w:ascii="Times New Roman" w:hAnsi="Times New Roman" w:cs="Times New Roman"/>
        </w:rPr>
        <w:t>En efecto, las dificultades para acceder a una vivienda en propiedad después de la crisis inmobiliaria (debido a las restricciones de crédito, situación agravada por la Ley 5/2019</w:t>
      </w:r>
      <w:r w:rsidR="0012265C" w:rsidRPr="00DA0E52">
        <w:rPr>
          <w:rStyle w:val="Refdenotaalpie"/>
          <w:rFonts w:ascii="Times New Roman" w:hAnsi="Times New Roman" w:cs="Times New Roman"/>
          <w:kern w:val="0"/>
        </w:rPr>
        <w:footnoteReference w:id="8"/>
      </w:r>
      <w:r w:rsidR="00D47E82" w:rsidRPr="00DA0E52">
        <w:rPr>
          <w:rFonts w:ascii="Times New Roman" w:hAnsi="Times New Roman" w:cs="Times New Roman"/>
          <w:kern w:val="0"/>
        </w:rPr>
        <w:t>)</w:t>
      </w:r>
      <w:r w:rsidR="006A6BA9" w:rsidRPr="00DA0E52">
        <w:rPr>
          <w:rFonts w:ascii="Times New Roman" w:hAnsi="Times New Roman" w:cs="Times New Roman"/>
          <w:kern w:val="0"/>
        </w:rPr>
        <w:t xml:space="preserve">, </w:t>
      </w:r>
      <w:r w:rsidRPr="00DA0E52">
        <w:rPr>
          <w:rFonts w:ascii="Times New Roman" w:eastAsia="Times New Roman" w:hAnsi="Times New Roman" w:cs="Times New Roman"/>
          <w:kern w:val="0"/>
          <w:lang w:eastAsia="es-ES_tradnl"/>
          <w14:ligatures w14:val="none"/>
        </w:rPr>
        <w:t xml:space="preserve">ha provocado una disminución progresiva de la vivienda en propiedad </w:t>
      </w:r>
      <w:r w:rsidR="00B53A29" w:rsidRPr="00DA0E52">
        <w:rPr>
          <w:rFonts w:ascii="Times New Roman" w:eastAsia="Times New Roman" w:hAnsi="Times New Roman" w:cs="Times New Roman"/>
          <w:kern w:val="0"/>
          <w:lang w:eastAsia="es-ES_tradnl"/>
          <w14:ligatures w14:val="none"/>
        </w:rPr>
        <w:t xml:space="preserve">desde 2008 como acredita el </w:t>
      </w:r>
      <w:r w:rsidR="005F43AC" w:rsidRPr="00DA0E52">
        <w:rPr>
          <w:rFonts w:ascii="Times New Roman" w:hAnsi="Times New Roman" w:cs="Times New Roman"/>
          <w:kern w:val="0"/>
        </w:rPr>
        <w:t>Instituto Nacional de Estadística (INE)</w:t>
      </w:r>
      <w:r w:rsidR="006A6BA9" w:rsidRPr="00DA0E52">
        <w:rPr>
          <w:rFonts w:ascii="Times New Roman" w:hAnsi="Times New Roman" w:cs="Times New Roman"/>
          <w:kern w:val="0"/>
        </w:rPr>
        <w:t>.</w:t>
      </w:r>
    </w:p>
    <w:p w14:paraId="4EB2B52E" w14:textId="77777777" w:rsidR="00DA0E52" w:rsidRDefault="00DA0E52" w:rsidP="00CA797F">
      <w:pPr>
        <w:widowControl w:val="0"/>
        <w:spacing w:line="360" w:lineRule="auto"/>
        <w:jc w:val="both"/>
        <w:rPr>
          <w:rFonts w:ascii="Times New Roman" w:hAnsi="Times New Roman" w:cs="Times New Roman"/>
          <w:kern w:val="0"/>
          <w:sz w:val="32"/>
          <w:szCs w:val="32"/>
        </w:rPr>
      </w:pPr>
    </w:p>
    <w:p w14:paraId="5BD67CB1" w14:textId="77777777" w:rsidR="0091056B" w:rsidRDefault="0091056B" w:rsidP="00CA797F">
      <w:pPr>
        <w:widowControl w:val="0"/>
        <w:spacing w:line="360" w:lineRule="auto"/>
        <w:jc w:val="both"/>
        <w:rPr>
          <w:rFonts w:ascii="Times New Roman" w:hAnsi="Times New Roman" w:cs="Times New Roman"/>
          <w:kern w:val="0"/>
          <w:sz w:val="32"/>
          <w:szCs w:val="32"/>
        </w:rPr>
      </w:pPr>
    </w:p>
    <w:p w14:paraId="761846A8" w14:textId="5F63C9D9" w:rsidR="00675E3A" w:rsidRPr="00F47564" w:rsidRDefault="00B8696D" w:rsidP="00CA797F">
      <w:pPr>
        <w:widowControl w:val="0"/>
        <w:spacing w:line="360" w:lineRule="auto"/>
        <w:ind w:hanging="142"/>
        <w:jc w:val="center"/>
        <w:rPr>
          <w:rFonts w:ascii="Times New Roman" w:hAnsi="Times New Roman" w:cs="Times New Roman"/>
          <w:kern w:val="0"/>
        </w:rPr>
      </w:pPr>
      <w:r w:rsidRPr="00DA0E52">
        <w:rPr>
          <w:rFonts w:ascii="Times New Roman" w:hAnsi="Times New Roman" w:cs="Times New Roman"/>
          <w:b/>
          <w:bCs/>
          <w:kern w:val="0"/>
        </w:rPr>
        <w:t>Figura 1.</w:t>
      </w:r>
      <w:r w:rsidRPr="00F47564">
        <w:rPr>
          <w:rFonts w:ascii="Times New Roman" w:hAnsi="Times New Roman" w:cs="Times New Roman"/>
          <w:kern w:val="0"/>
        </w:rPr>
        <w:t xml:space="preserve"> Hogares por régimen de tenencia de la vivienda y edad y sexo de la persona de </w:t>
      </w:r>
      <w:r w:rsidRPr="00F47564">
        <w:rPr>
          <w:rFonts w:ascii="Times New Roman" w:hAnsi="Times New Roman" w:cs="Times New Roman"/>
          <w:kern w:val="0"/>
        </w:rPr>
        <w:lastRenderedPageBreak/>
        <w:t>referencia</w:t>
      </w:r>
    </w:p>
    <w:p w14:paraId="036EA72E" w14:textId="77777777" w:rsidR="00675E3A" w:rsidRPr="00F47564" w:rsidRDefault="00675E3A" w:rsidP="00CA797F">
      <w:pPr>
        <w:widowControl w:val="0"/>
        <w:spacing w:line="360" w:lineRule="auto"/>
        <w:jc w:val="center"/>
        <w:rPr>
          <w:rFonts w:ascii="Times New Roman" w:hAnsi="Times New Roman" w:cs="Times New Roman"/>
          <w:kern w:val="0"/>
          <w:sz w:val="22"/>
          <w:szCs w:val="22"/>
        </w:rPr>
      </w:pPr>
      <w:r w:rsidRPr="00F47564">
        <w:rPr>
          <w:rFonts w:ascii="Times New Roman" w:hAnsi="Times New Roman" w:cs="Times New Roman"/>
          <w:noProof/>
          <w:kern w:val="0"/>
          <w:sz w:val="22"/>
          <w:szCs w:val="22"/>
        </w:rPr>
        <w:drawing>
          <wp:inline distT="0" distB="0" distL="0" distR="0" wp14:anchorId="55BBD1A5" wp14:editId="036F63A5">
            <wp:extent cx="4042506" cy="2213811"/>
            <wp:effectExtent l="0" t="0" r="0" b="0"/>
            <wp:docPr id="1473996296"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96296" name="Imagen 1" descr="Gráfico, Gráfico de líneas&#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4740" cy="2220511"/>
                    </a:xfrm>
                    <a:prstGeom prst="rect">
                      <a:avLst/>
                    </a:prstGeom>
                  </pic:spPr>
                </pic:pic>
              </a:graphicData>
            </a:graphic>
          </wp:inline>
        </w:drawing>
      </w:r>
    </w:p>
    <w:p w14:paraId="53993498" w14:textId="1AC0977C" w:rsidR="00675E3A" w:rsidRPr="00F47564" w:rsidRDefault="00675E3A" w:rsidP="00DA0E52">
      <w:pPr>
        <w:widowControl w:val="0"/>
        <w:spacing w:before="240" w:line="360" w:lineRule="auto"/>
        <w:jc w:val="center"/>
        <w:rPr>
          <w:rFonts w:ascii="Times New Roman" w:hAnsi="Times New Roman" w:cs="Times New Roman"/>
          <w:kern w:val="0"/>
          <w:sz w:val="20"/>
          <w:szCs w:val="20"/>
        </w:rPr>
      </w:pPr>
      <w:r w:rsidRPr="00F47564">
        <w:rPr>
          <w:rFonts w:ascii="Times New Roman" w:hAnsi="Times New Roman" w:cs="Times New Roman"/>
          <w:kern w:val="0"/>
        </w:rPr>
        <w:t xml:space="preserve">Fuente. </w:t>
      </w:r>
      <w:r w:rsidR="00B8696D" w:rsidRPr="00F47564">
        <w:rPr>
          <w:rFonts w:ascii="Times New Roman" w:hAnsi="Times New Roman" w:cs="Times New Roman"/>
          <w:kern w:val="0"/>
        </w:rPr>
        <w:t>Instituto Nacional de Estadística,</w:t>
      </w:r>
      <w:r w:rsidR="00BC67CE" w:rsidRPr="00F47564">
        <w:rPr>
          <w:rFonts w:ascii="Times New Roman" w:hAnsi="Times New Roman" w:cs="Times New Roman"/>
          <w:kern w:val="0"/>
        </w:rPr>
        <w:t xml:space="preserve"> 2024</w:t>
      </w:r>
      <w:r w:rsidR="004F793F" w:rsidRPr="00F47564">
        <w:rPr>
          <w:rStyle w:val="Refdenotaalpie"/>
          <w:rFonts w:ascii="Times New Roman" w:hAnsi="Times New Roman" w:cs="Times New Roman"/>
          <w:kern w:val="0"/>
        </w:rPr>
        <w:footnoteReference w:id="9"/>
      </w:r>
      <w:r w:rsidR="00BC67CE" w:rsidRPr="00F47564">
        <w:rPr>
          <w:rFonts w:ascii="Times New Roman" w:hAnsi="Times New Roman" w:cs="Times New Roman"/>
          <w:kern w:val="0"/>
        </w:rPr>
        <w:t>.</w:t>
      </w:r>
    </w:p>
    <w:p w14:paraId="4DFD1FED" w14:textId="77777777" w:rsidR="0091056B" w:rsidRDefault="0091056B" w:rsidP="005A5238">
      <w:pPr>
        <w:pStyle w:val="paraOJS"/>
      </w:pPr>
    </w:p>
    <w:p w14:paraId="35C38BDB" w14:textId="4E7A8996" w:rsidR="006A6BA9" w:rsidRPr="005A5238" w:rsidRDefault="004A6AB6" w:rsidP="005A5238">
      <w:pPr>
        <w:pStyle w:val="paraOJS"/>
      </w:pPr>
      <w:r w:rsidRPr="005A5238">
        <w:t xml:space="preserve">Estas viviendas han sido adquiridas por las personas físicas o jurídicas con más recursos. En este sentido, </w:t>
      </w:r>
      <w:r w:rsidR="00B02746" w:rsidRPr="005A5238">
        <w:t xml:space="preserve">se estima que </w:t>
      </w:r>
      <w:r w:rsidRPr="005A5238">
        <w:t xml:space="preserve">los </w:t>
      </w:r>
      <w:r w:rsidRPr="005A5238">
        <w:rPr>
          <w:sz w:val="22"/>
          <w:szCs w:val="22"/>
        </w:rPr>
        <w:t xml:space="preserve">tenedores de más de diez inmuebles </w:t>
      </w:r>
      <w:r w:rsidR="00B02746" w:rsidRPr="005A5238">
        <w:rPr>
          <w:sz w:val="22"/>
          <w:szCs w:val="22"/>
        </w:rPr>
        <w:t xml:space="preserve">suponen el 4,3% del parque total de viviendas y el 8,9% de las que </w:t>
      </w:r>
      <w:r w:rsidR="00B02746" w:rsidRPr="005A5238">
        <w:t>hay disponibles</w:t>
      </w:r>
      <w:r w:rsidR="005355EF" w:rsidRPr="005A5238">
        <w:t xml:space="preserve">. Respecto a su titularidad, se estima que el </w:t>
      </w:r>
      <w:r w:rsidR="00423419" w:rsidRPr="005A5238">
        <w:t xml:space="preserve">60% de las viviendas son de </w:t>
      </w:r>
      <w:r w:rsidR="005355EF" w:rsidRPr="005A5238">
        <w:t>personas jurídicas privadas (</w:t>
      </w:r>
      <w:r w:rsidR="00423419" w:rsidRPr="005A5238">
        <w:t>empresas, fondos y otras entidades privadas</w:t>
      </w:r>
      <w:r w:rsidR="005355EF" w:rsidRPr="005A5238">
        <w:t>), e</w:t>
      </w:r>
      <w:r w:rsidR="00423419" w:rsidRPr="005A5238">
        <w:t>l 23%, del sector público y el 17% restante, de personas físicas</w:t>
      </w:r>
      <w:r w:rsidR="005355EF" w:rsidRPr="005A5238">
        <w:t>. Además,</w:t>
      </w:r>
      <w:r w:rsidR="008C1DC3" w:rsidRPr="005A5238">
        <w:t xml:space="preserve"> </w:t>
      </w:r>
      <w:r w:rsidRPr="005A5238">
        <w:t>los extranjeros ya adquieren el 14,98% de las viviendas de media en 2023 (el 31,5% en Palma</w:t>
      </w:r>
      <w:r w:rsidR="007F5847" w:rsidRPr="005A5238">
        <w:rPr>
          <w:rStyle w:val="Refdenotaalpie"/>
        </w:rPr>
        <w:footnoteReference w:id="10"/>
      </w:r>
      <w:r w:rsidR="008C1DC3" w:rsidRPr="005A5238">
        <w:t xml:space="preserve">) </w:t>
      </w:r>
      <w:r w:rsidRPr="005A5238">
        <w:t>y existe una correlación entre el poder adquisitivo y la tasa de vivienda en propiedad en las ciudades</w:t>
      </w:r>
      <w:r w:rsidR="008C1DC3" w:rsidRPr="005A5238">
        <w:rPr>
          <w:rStyle w:val="Refdenotaalpie"/>
        </w:rPr>
        <w:footnoteReference w:id="11"/>
      </w:r>
      <w:r w:rsidR="008C1DC3" w:rsidRPr="005A5238">
        <w:t xml:space="preserve">, </w:t>
      </w:r>
      <w:r w:rsidRPr="005A5238">
        <w:t>que han convertido los que no podían comprarlos en inquilinos a perpetuidad. El efecto último es la concentración de la propiedad en pocas manos, lo que</w:t>
      </w:r>
      <w:r w:rsidR="006B3E4E" w:rsidRPr="005A5238">
        <w:t xml:space="preserve"> </w:t>
      </w:r>
      <w:r w:rsidRPr="005A5238">
        <w:t>no es deseable, ya sea en manos públicas o privadas</w:t>
      </w:r>
      <w:r w:rsidR="008C1DC3" w:rsidRPr="005A5238">
        <w:t>.</w:t>
      </w:r>
    </w:p>
    <w:p w14:paraId="4B69EF5E" w14:textId="77777777" w:rsidR="00F94A79" w:rsidRDefault="00F94A79" w:rsidP="005B2D45">
      <w:pPr>
        <w:widowControl w:val="0"/>
        <w:spacing w:line="360" w:lineRule="auto"/>
        <w:jc w:val="center"/>
        <w:rPr>
          <w:rFonts w:ascii="Times New Roman" w:hAnsi="Times New Roman" w:cs="Times New Roman"/>
          <w:kern w:val="0"/>
          <w:sz w:val="28"/>
          <w:szCs w:val="28"/>
        </w:rPr>
      </w:pPr>
    </w:p>
    <w:p w14:paraId="64E097FD" w14:textId="77777777" w:rsidR="0091056B" w:rsidRDefault="0091056B" w:rsidP="005B2D45">
      <w:pPr>
        <w:widowControl w:val="0"/>
        <w:spacing w:line="360" w:lineRule="auto"/>
        <w:jc w:val="center"/>
        <w:rPr>
          <w:rFonts w:ascii="Times New Roman" w:hAnsi="Times New Roman" w:cs="Times New Roman"/>
          <w:kern w:val="0"/>
          <w:sz w:val="28"/>
          <w:szCs w:val="28"/>
        </w:rPr>
      </w:pPr>
    </w:p>
    <w:p w14:paraId="35914F91" w14:textId="77777777" w:rsidR="0091056B" w:rsidRPr="005A5238" w:rsidRDefault="0091056B" w:rsidP="005B2D45">
      <w:pPr>
        <w:widowControl w:val="0"/>
        <w:spacing w:line="360" w:lineRule="auto"/>
        <w:jc w:val="center"/>
        <w:rPr>
          <w:rFonts w:ascii="Times New Roman" w:hAnsi="Times New Roman" w:cs="Times New Roman"/>
          <w:kern w:val="0"/>
          <w:sz w:val="28"/>
          <w:szCs w:val="28"/>
        </w:rPr>
      </w:pPr>
    </w:p>
    <w:p w14:paraId="750C874D" w14:textId="2024AAE2" w:rsidR="00077E44" w:rsidRPr="005A5238" w:rsidRDefault="00F9691F" w:rsidP="00CA797F">
      <w:pPr>
        <w:widowControl w:val="0"/>
        <w:spacing w:line="360" w:lineRule="auto"/>
        <w:jc w:val="center"/>
        <w:rPr>
          <w:rFonts w:ascii="Times New Roman" w:hAnsi="Times New Roman" w:cs="Times New Roman"/>
          <w:kern w:val="0"/>
          <w:sz w:val="28"/>
          <w:szCs w:val="28"/>
        </w:rPr>
      </w:pPr>
      <w:r w:rsidRPr="00A01F16">
        <w:rPr>
          <w:rFonts w:ascii="Times New Roman" w:hAnsi="Times New Roman" w:cs="Times New Roman"/>
          <w:b/>
          <w:bCs/>
          <w:kern w:val="0"/>
        </w:rPr>
        <w:t>Figura 2.</w:t>
      </w:r>
      <w:r w:rsidRPr="00A01F16">
        <w:rPr>
          <w:rFonts w:ascii="Times New Roman" w:hAnsi="Times New Roman" w:cs="Times New Roman"/>
          <w:kern w:val="0"/>
        </w:rPr>
        <w:t xml:space="preserve"> El mapa de los grandes tenedores en España</w:t>
      </w:r>
    </w:p>
    <w:p w14:paraId="75401D17" w14:textId="0510AE0B" w:rsidR="00550094" w:rsidRPr="00F47564" w:rsidRDefault="00F9691F" w:rsidP="005A5238">
      <w:pPr>
        <w:pStyle w:val="Textonotapie"/>
        <w:widowControl w:val="0"/>
        <w:spacing w:line="360" w:lineRule="auto"/>
        <w:ind w:firstLine="708"/>
        <w:jc w:val="both"/>
        <w:rPr>
          <w:rFonts w:ascii="Times New Roman" w:hAnsi="Times New Roman" w:cs="Times New Roman"/>
          <w:sz w:val="20"/>
          <w:szCs w:val="20"/>
        </w:rPr>
      </w:pPr>
      <w:r w:rsidRPr="00F47564">
        <w:rPr>
          <w:rFonts w:ascii="Times New Roman" w:hAnsi="Times New Roman" w:cs="Times New Roman"/>
          <w:noProof/>
          <w:sz w:val="22"/>
          <w:szCs w:val="22"/>
        </w:rPr>
        <w:lastRenderedPageBreak/>
        <w:drawing>
          <wp:anchor distT="0" distB="0" distL="114300" distR="114300" simplePos="0" relativeHeight="251658240" behindDoc="0" locked="0" layoutInCell="1" allowOverlap="1" wp14:anchorId="22EEF866" wp14:editId="059A246F">
            <wp:simplePos x="0" y="0"/>
            <wp:positionH relativeFrom="column">
              <wp:posOffset>431165</wp:posOffset>
            </wp:positionH>
            <wp:positionV relativeFrom="paragraph">
              <wp:posOffset>15875</wp:posOffset>
            </wp:positionV>
            <wp:extent cx="4347210" cy="2846070"/>
            <wp:effectExtent l="0" t="0" r="0" b="0"/>
            <wp:wrapTopAndBottom/>
            <wp:docPr id="686827007" name="Imagen 1"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27007" name="Imagen 1" descr="Map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7210" cy="2846070"/>
                    </a:xfrm>
                    <a:prstGeom prst="rect">
                      <a:avLst/>
                    </a:prstGeom>
                  </pic:spPr>
                </pic:pic>
              </a:graphicData>
            </a:graphic>
            <wp14:sizeRelH relativeFrom="page">
              <wp14:pctWidth>0</wp14:pctWidth>
            </wp14:sizeRelH>
            <wp14:sizeRelV relativeFrom="page">
              <wp14:pctHeight>0</wp14:pctHeight>
            </wp14:sizeRelV>
          </wp:anchor>
        </w:drawing>
      </w:r>
    </w:p>
    <w:p w14:paraId="34A1B427" w14:textId="77777777" w:rsidR="005A5238" w:rsidRDefault="00AF4253" w:rsidP="005A5238">
      <w:pPr>
        <w:widowControl w:val="0"/>
        <w:spacing w:line="360" w:lineRule="auto"/>
        <w:jc w:val="center"/>
        <w:rPr>
          <w:rFonts w:ascii="Times New Roman" w:hAnsi="Times New Roman" w:cs="Times New Roman"/>
          <w:kern w:val="0"/>
        </w:rPr>
      </w:pPr>
      <w:r w:rsidRPr="00F47564">
        <w:rPr>
          <w:rFonts w:ascii="Times New Roman" w:hAnsi="Times New Roman" w:cs="Times New Roman"/>
          <w:kern w:val="0"/>
        </w:rPr>
        <w:t>Fuente. El Diario.es</w:t>
      </w:r>
      <w:r w:rsidR="00BA1B03" w:rsidRPr="00F47564">
        <w:rPr>
          <w:rFonts w:ascii="Times New Roman" w:hAnsi="Times New Roman" w:cs="Times New Roman"/>
          <w:kern w:val="0"/>
        </w:rPr>
        <w:t>, 2024</w:t>
      </w:r>
      <w:r w:rsidRPr="00F47564">
        <w:rPr>
          <w:rStyle w:val="Refdenotaalpie"/>
          <w:rFonts w:ascii="Times New Roman" w:hAnsi="Times New Roman" w:cs="Times New Roman"/>
          <w:kern w:val="0"/>
        </w:rPr>
        <w:footnoteReference w:id="12"/>
      </w:r>
    </w:p>
    <w:p w14:paraId="60DB9B92" w14:textId="77777777" w:rsidR="0091056B" w:rsidRDefault="0091056B" w:rsidP="005A5238">
      <w:pPr>
        <w:widowControl w:val="0"/>
        <w:spacing w:line="360" w:lineRule="auto"/>
        <w:jc w:val="center"/>
        <w:rPr>
          <w:rFonts w:ascii="Times New Roman" w:hAnsi="Times New Roman" w:cs="Times New Roman"/>
          <w:kern w:val="0"/>
        </w:rPr>
      </w:pPr>
    </w:p>
    <w:p w14:paraId="63F8DDC0" w14:textId="2A9BC357" w:rsidR="005454AE" w:rsidRPr="00F47564" w:rsidRDefault="004A6AB6" w:rsidP="005A5238">
      <w:pPr>
        <w:pStyle w:val="paraOJS"/>
        <w:rPr>
          <w:lang w:eastAsia="es-ES_tradnl"/>
        </w:rPr>
      </w:pPr>
      <w:r w:rsidRPr="00F47564">
        <w:t>Este contexto ha propiciado, primero, que los hogares menos favorecidos económicamente se hayan visto forzados a alquilar, lo que ha provocado una burbuja en el mercado privado de alquiler desde 2016 en las grandes ciudades (entre 2015 y 2022, el crecimiento acumulado de la renta del alquiler por metro cuadrado del parque de viviendas de alquiler supera el 28,5%</w:t>
      </w:r>
      <w:r w:rsidR="00AC47FD" w:rsidRPr="00F47564">
        <w:t xml:space="preserve">, </w:t>
      </w:r>
      <w:r w:rsidR="00AC47FD" w:rsidRPr="00F47564">
        <w:rPr>
          <w:rFonts w:eastAsiaTheme="minorEastAsia"/>
        </w:rPr>
        <w:t>Ban</w:t>
      </w:r>
      <w:r w:rsidR="002232C2" w:rsidRPr="00F47564">
        <w:rPr>
          <w:rFonts w:eastAsiaTheme="minorEastAsia"/>
        </w:rPr>
        <w:t>c</w:t>
      </w:r>
      <w:r w:rsidR="00AC47FD" w:rsidRPr="00F47564">
        <w:rPr>
          <w:rFonts w:eastAsiaTheme="minorEastAsia"/>
        </w:rPr>
        <w:t>o de España, 2023, 240</w:t>
      </w:r>
      <w:r w:rsidR="002D7A21" w:rsidRPr="00F47564">
        <w:t>)</w:t>
      </w:r>
      <w:r w:rsidR="008C1DC3" w:rsidRPr="00F47564">
        <w:rPr>
          <w:lang w:eastAsia="es-ES_tradnl"/>
        </w:rPr>
        <w:t xml:space="preserve">, </w:t>
      </w:r>
      <w:r w:rsidRPr="00F47564">
        <w:rPr>
          <w:lang w:eastAsia="es-ES_tradnl"/>
        </w:rPr>
        <w:t>con indicadores de esfuerzo económico muy superior a la vivienda en propiedad, con o sin hipoteca</w:t>
      </w:r>
      <w:r w:rsidR="00F8771D" w:rsidRPr="00F47564">
        <w:rPr>
          <w:lang w:eastAsia="es-ES_tradnl"/>
        </w:rPr>
        <w:t xml:space="preserve">; </w:t>
      </w:r>
    </w:p>
    <w:p w14:paraId="4E5ACA5B" w14:textId="77777777" w:rsidR="003F5B96" w:rsidRPr="00F47564" w:rsidRDefault="003F5B96" w:rsidP="003F5B96">
      <w:pPr>
        <w:widowControl w:val="0"/>
        <w:spacing w:line="360" w:lineRule="auto"/>
        <w:ind w:firstLine="708"/>
        <w:jc w:val="center"/>
        <w:rPr>
          <w:rFonts w:ascii="Times New Roman" w:hAnsi="Times New Roman" w:cs="Times New Roman"/>
          <w:kern w:val="0"/>
          <w:sz w:val="20"/>
          <w:szCs w:val="20"/>
        </w:rPr>
      </w:pPr>
    </w:p>
    <w:p w14:paraId="3E8F97CC" w14:textId="40F1AE77" w:rsidR="0040603E" w:rsidRPr="00F47564" w:rsidRDefault="003F5B96" w:rsidP="00CA797F">
      <w:pPr>
        <w:widowControl w:val="0"/>
        <w:spacing w:line="360" w:lineRule="auto"/>
        <w:jc w:val="center"/>
        <w:rPr>
          <w:rFonts w:ascii="Times New Roman" w:hAnsi="Times New Roman" w:cs="Times New Roman"/>
          <w:kern w:val="0"/>
        </w:rPr>
      </w:pPr>
      <w:r w:rsidRPr="005A5238">
        <w:rPr>
          <w:rFonts w:ascii="Times New Roman" w:hAnsi="Times New Roman" w:cs="Times New Roman"/>
          <w:b/>
          <w:bCs/>
          <w:noProof/>
          <w:kern w:val="0"/>
        </w:rPr>
        <w:drawing>
          <wp:anchor distT="0" distB="0" distL="114300" distR="114300" simplePos="0" relativeHeight="251660288" behindDoc="0" locked="0" layoutInCell="1" allowOverlap="1" wp14:anchorId="4B00920E" wp14:editId="043B42F5">
            <wp:simplePos x="0" y="0"/>
            <wp:positionH relativeFrom="column">
              <wp:posOffset>278765</wp:posOffset>
            </wp:positionH>
            <wp:positionV relativeFrom="paragraph">
              <wp:posOffset>486478</wp:posOffset>
            </wp:positionV>
            <wp:extent cx="4814570" cy="2273300"/>
            <wp:effectExtent l="0" t="0" r="0" b="0"/>
            <wp:wrapSquare wrapText="bothSides"/>
            <wp:docPr id="1146551114"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51114" name="Imagen 1" descr="Gráfico, Gráfico de barras&#10;&#10;El contenido generado por IA puede ser incorrecto."/>
                    <pic:cNvPicPr/>
                  </pic:nvPicPr>
                  <pic:blipFill rotWithShape="1">
                    <a:blip r:embed="rId11">
                      <a:extLst>
                        <a:ext uri="{28A0092B-C50C-407E-A947-70E740481C1C}">
                          <a14:useLocalDpi xmlns:a14="http://schemas.microsoft.com/office/drawing/2010/main" val="0"/>
                        </a:ext>
                      </a:extLst>
                    </a:blip>
                    <a:srcRect t="8661"/>
                    <a:stretch/>
                  </pic:blipFill>
                  <pic:spPr bwMode="auto">
                    <a:xfrm>
                      <a:off x="0" y="0"/>
                      <a:ext cx="4814570" cy="2273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603E" w:rsidRPr="005A5238">
        <w:rPr>
          <w:rFonts w:ascii="Times New Roman" w:hAnsi="Times New Roman" w:cs="Times New Roman"/>
          <w:b/>
          <w:bCs/>
          <w:kern w:val="0"/>
        </w:rPr>
        <w:t xml:space="preserve">Figura </w:t>
      </w:r>
      <w:r w:rsidR="00F92769" w:rsidRPr="005A5238">
        <w:rPr>
          <w:rFonts w:ascii="Times New Roman" w:hAnsi="Times New Roman" w:cs="Times New Roman"/>
          <w:b/>
          <w:bCs/>
          <w:kern w:val="0"/>
        </w:rPr>
        <w:t>3</w:t>
      </w:r>
      <w:r w:rsidR="0040603E" w:rsidRPr="00F47564">
        <w:rPr>
          <w:rFonts w:ascii="Times New Roman" w:hAnsi="Times New Roman" w:cs="Times New Roman"/>
          <w:kern w:val="0"/>
        </w:rPr>
        <w:t xml:space="preserve">. </w:t>
      </w:r>
      <w:r w:rsidRPr="00F47564">
        <w:rPr>
          <w:rFonts w:ascii="Times New Roman" w:hAnsi="Times New Roman" w:cs="Times New Roman"/>
          <w:kern w:val="0"/>
        </w:rPr>
        <w:t>Hogares</w:t>
      </w:r>
      <w:r w:rsidR="00125DD5" w:rsidRPr="00F47564">
        <w:rPr>
          <w:rFonts w:ascii="Times New Roman" w:hAnsi="Times New Roman" w:cs="Times New Roman"/>
          <w:kern w:val="0"/>
        </w:rPr>
        <w:t xml:space="preserve"> españoles</w:t>
      </w:r>
      <w:r w:rsidRPr="00F47564">
        <w:rPr>
          <w:rFonts w:ascii="Times New Roman" w:hAnsi="Times New Roman" w:cs="Times New Roman"/>
          <w:kern w:val="0"/>
        </w:rPr>
        <w:t xml:space="preserve"> que destinan más del 40 % de su renta al gasto en vivienda en 2022 </w:t>
      </w:r>
    </w:p>
    <w:p w14:paraId="344E5E41" w14:textId="0E57683E" w:rsidR="0040603E" w:rsidRPr="00F47564" w:rsidRDefault="0040603E" w:rsidP="003047CF">
      <w:pPr>
        <w:widowControl w:val="0"/>
        <w:spacing w:line="360" w:lineRule="auto"/>
        <w:jc w:val="center"/>
        <w:rPr>
          <w:rFonts w:ascii="Times New Roman" w:hAnsi="Times New Roman" w:cs="Times New Roman"/>
          <w:kern w:val="0"/>
          <w:sz w:val="20"/>
          <w:szCs w:val="20"/>
        </w:rPr>
      </w:pPr>
    </w:p>
    <w:p w14:paraId="354B6400" w14:textId="066A7F74" w:rsidR="005454AE" w:rsidRDefault="0040603E" w:rsidP="00CA797F">
      <w:pPr>
        <w:widowControl w:val="0"/>
        <w:spacing w:line="360" w:lineRule="auto"/>
        <w:jc w:val="center"/>
        <w:rPr>
          <w:rFonts w:ascii="Times New Roman" w:eastAsiaTheme="minorEastAsia" w:hAnsi="Times New Roman" w:cs="Times New Roman"/>
        </w:rPr>
      </w:pPr>
      <w:r w:rsidRPr="00F47564">
        <w:rPr>
          <w:rFonts w:ascii="Times New Roman" w:hAnsi="Times New Roman" w:cs="Times New Roman"/>
          <w:kern w:val="0"/>
        </w:rPr>
        <w:t xml:space="preserve">Fuente. </w:t>
      </w:r>
      <w:r w:rsidR="00170D4C" w:rsidRPr="00F47564">
        <w:rPr>
          <w:rFonts w:ascii="Times New Roman" w:eastAsiaTheme="minorEastAsia" w:hAnsi="Times New Roman" w:cs="Times New Roman"/>
        </w:rPr>
        <w:t>Banco de España</w:t>
      </w:r>
      <w:r w:rsidR="005D0F67" w:rsidRPr="00F47564">
        <w:rPr>
          <w:rFonts w:ascii="Times New Roman" w:eastAsiaTheme="minorEastAsia" w:hAnsi="Times New Roman" w:cs="Times New Roman"/>
        </w:rPr>
        <w:t xml:space="preserve"> (</w:t>
      </w:r>
      <w:r w:rsidR="00170D4C" w:rsidRPr="00F47564">
        <w:rPr>
          <w:rFonts w:ascii="Times New Roman" w:eastAsiaTheme="minorEastAsia" w:hAnsi="Times New Roman" w:cs="Times New Roman"/>
        </w:rPr>
        <w:t xml:space="preserve">2023, </w:t>
      </w:r>
      <w:r w:rsidR="005D0F67" w:rsidRPr="00F47564">
        <w:rPr>
          <w:rFonts w:ascii="Times New Roman" w:eastAsiaTheme="minorEastAsia" w:hAnsi="Times New Roman" w:cs="Times New Roman"/>
        </w:rPr>
        <w:t xml:space="preserve">p. </w:t>
      </w:r>
      <w:r w:rsidR="00170D4C" w:rsidRPr="00F47564">
        <w:rPr>
          <w:rFonts w:ascii="Times New Roman" w:eastAsiaTheme="minorEastAsia" w:hAnsi="Times New Roman" w:cs="Times New Roman"/>
        </w:rPr>
        <w:t>269</w:t>
      </w:r>
      <w:r w:rsidR="005D0F67" w:rsidRPr="00F47564">
        <w:rPr>
          <w:rFonts w:ascii="Times New Roman" w:eastAsiaTheme="minorEastAsia" w:hAnsi="Times New Roman" w:cs="Times New Roman"/>
        </w:rPr>
        <w:t>)</w:t>
      </w:r>
    </w:p>
    <w:p w14:paraId="4742B1CC" w14:textId="77777777" w:rsidR="005A5238" w:rsidRPr="00F47564" w:rsidRDefault="005A5238" w:rsidP="00CA797F">
      <w:pPr>
        <w:widowControl w:val="0"/>
        <w:spacing w:line="360" w:lineRule="auto"/>
        <w:jc w:val="center"/>
        <w:rPr>
          <w:rFonts w:ascii="Times New Roman" w:hAnsi="Times New Roman" w:cs="Times New Roman"/>
        </w:rPr>
      </w:pPr>
    </w:p>
    <w:p w14:paraId="37FA0255" w14:textId="11E5258A" w:rsidR="004C3A9B" w:rsidRPr="00F47564" w:rsidRDefault="00125DD5" w:rsidP="00A01F16">
      <w:pPr>
        <w:pStyle w:val="Textonotapie"/>
        <w:widowControl w:val="0"/>
        <w:spacing w:line="360" w:lineRule="auto"/>
        <w:ind w:firstLine="708"/>
        <w:jc w:val="both"/>
        <w:rPr>
          <w:rFonts w:ascii="Times New Roman" w:hAnsi="Times New Roman" w:cs="Times New Roman"/>
          <w:lang w:eastAsia="es-ES_tradnl"/>
        </w:rPr>
      </w:pPr>
      <w:r w:rsidRPr="00F47564">
        <w:rPr>
          <w:rFonts w:ascii="Times New Roman" w:hAnsi="Times New Roman" w:cs="Times New Roman"/>
          <w:lang w:eastAsia="es-ES_tradnl"/>
        </w:rPr>
        <w:t>Además, también ha tenido lugar</w:t>
      </w:r>
      <w:r w:rsidR="004A6AB6" w:rsidRPr="00F47564">
        <w:rPr>
          <w:rFonts w:ascii="Times New Roman" w:hAnsi="Times New Roman" w:cs="Times New Roman"/>
          <w:lang w:eastAsia="es-ES_tradnl"/>
        </w:rPr>
        <w:t xml:space="preserve"> una progresiva precarización del acceso a la vivienda con el uso de eufemismos como la vivienda colaborativa (es difícil que las cooperativas de vivienda en cesión de uso puedan ser una alternativa viable a la vivienda en propiedad y en alquiler pues son difícilmente replicables sin apoyo público, a la vez que no tienen una finalidad social </w:t>
      </w:r>
      <w:r w:rsidR="004A6AB6" w:rsidRPr="00F47564">
        <w:rPr>
          <w:rFonts w:ascii="Times New Roman" w:hAnsi="Times New Roman" w:cs="Times New Roman"/>
          <w:i/>
          <w:iCs/>
          <w:lang w:eastAsia="es-ES_tradnl"/>
        </w:rPr>
        <w:t>p</w:t>
      </w:r>
      <w:r w:rsidR="00232B41" w:rsidRPr="00F47564">
        <w:rPr>
          <w:rFonts w:ascii="Times New Roman" w:hAnsi="Times New Roman" w:cs="Times New Roman"/>
          <w:i/>
          <w:iCs/>
          <w:lang w:eastAsia="es-ES_tradnl"/>
        </w:rPr>
        <w:t>e</w:t>
      </w:r>
      <w:r w:rsidR="004A6AB6" w:rsidRPr="00F47564">
        <w:rPr>
          <w:rFonts w:ascii="Times New Roman" w:hAnsi="Times New Roman" w:cs="Times New Roman"/>
          <w:i/>
          <w:iCs/>
          <w:lang w:eastAsia="es-ES_tradnl"/>
        </w:rPr>
        <w:t>r se</w:t>
      </w:r>
      <w:r w:rsidR="004A6AB6" w:rsidRPr="00F47564">
        <w:rPr>
          <w:rFonts w:ascii="Times New Roman" w:hAnsi="Times New Roman" w:cs="Times New Roman"/>
          <w:lang w:eastAsia="es-ES_tradnl"/>
        </w:rPr>
        <w:t xml:space="preserve"> -lo que puede cuestionar el apoyo público mediante la cesión de suelo público-</w:t>
      </w:r>
      <w:r w:rsidR="0009085E" w:rsidRPr="00F47564">
        <w:rPr>
          <w:rFonts w:ascii="Times New Roman" w:hAnsi="Times New Roman" w:cs="Times New Roman"/>
          <w:lang w:eastAsia="es-ES_tradnl"/>
        </w:rPr>
        <w:t xml:space="preserve">; </w:t>
      </w:r>
      <w:r w:rsidR="0009085E" w:rsidRPr="00F47564">
        <w:rPr>
          <w:rFonts w:ascii="Times New Roman" w:hAnsi="Times New Roman" w:cs="Times New Roman"/>
        </w:rPr>
        <w:t>Simón Moreno, 2020, 31 y ss.</w:t>
      </w:r>
      <w:r w:rsidR="00F8771D" w:rsidRPr="00F47564">
        <w:rPr>
          <w:rFonts w:ascii="Times New Roman" w:hAnsi="Times New Roman" w:cs="Times New Roman"/>
          <w:lang w:eastAsia="es-ES_tradnl"/>
        </w:rPr>
        <w:t>)</w:t>
      </w:r>
      <w:r w:rsidR="00ED7594" w:rsidRPr="00F47564">
        <w:rPr>
          <w:rFonts w:ascii="Times New Roman" w:hAnsi="Times New Roman" w:cs="Times New Roman"/>
          <w:lang w:eastAsia="es-ES_tradnl"/>
        </w:rPr>
        <w:t xml:space="preserve">, </w:t>
      </w:r>
      <w:r w:rsidR="004A6AB6" w:rsidRPr="00F47564">
        <w:rPr>
          <w:rFonts w:ascii="Times New Roman" w:hAnsi="Times New Roman" w:cs="Times New Roman"/>
          <w:lang w:eastAsia="es-ES_tradnl"/>
        </w:rPr>
        <w:t>y el incremento de situaciones de sinhogarismo oculto, como el alquiler de habitaciones</w:t>
      </w:r>
      <w:r w:rsidR="00BA1CAC" w:rsidRPr="00F47564">
        <w:rPr>
          <w:rStyle w:val="Refdenotaalpie"/>
          <w:rFonts w:ascii="Times New Roman" w:hAnsi="Times New Roman" w:cs="Times New Roman"/>
          <w:lang w:eastAsia="es-ES_tradnl"/>
        </w:rPr>
        <w:footnoteReference w:id="13"/>
      </w:r>
      <w:r w:rsidR="00ED7594" w:rsidRPr="00F47564">
        <w:rPr>
          <w:rFonts w:ascii="Times New Roman" w:hAnsi="Times New Roman" w:cs="Times New Roman"/>
          <w:lang w:eastAsia="es-ES_tradnl"/>
        </w:rPr>
        <w:t xml:space="preserve">, </w:t>
      </w:r>
      <w:r w:rsidR="000B0DEF" w:rsidRPr="00F47564">
        <w:rPr>
          <w:rFonts w:ascii="Times New Roman" w:hAnsi="Times New Roman" w:cs="Times New Roman"/>
          <w:lang w:eastAsia="es-ES_tradnl"/>
        </w:rPr>
        <w:t>la infravivienda</w:t>
      </w:r>
      <w:r w:rsidR="00ED7594" w:rsidRPr="00F47564">
        <w:rPr>
          <w:rFonts w:ascii="Times New Roman" w:hAnsi="Times New Roman" w:cs="Times New Roman"/>
          <w:lang w:eastAsia="es-ES_tradnl"/>
        </w:rPr>
        <w:t xml:space="preserve"> o la </w:t>
      </w:r>
      <w:r w:rsidR="000B0DEF" w:rsidRPr="00F47564">
        <w:rPr>
          <w:rFonts w:ascii="Times New Roman" w:hAnsi="Times New Roman" w:cs="Times New Roman"/>
          <w:lang w:eastAsia="es-ES_tradnl"/>
        </w:rPr>
        <w:t>sobreocupación</w:t>
      </w:r>
      <w:r w:rsidR="00ED7594" w:rsidRPr="00F47564">
        <w:rPr>
          <w:rFonts w:ascii="Times New Roman" w:hAnsi="Times New Roman" w:cs="Times New Roman"/>
          <w:lang w:eastAsia="es-ES_tradnl"/>
        </w:rPr>
        <w:t>.</w:t>
      </w:r>
      <w:r w:rsidR="00F8771D" w:rsidRPr="00F47564">
        <w:rPr>
          <w:rFonts w:ascii="Times New Roman" w:hAnsi="Times New Roman" w:cs="Times New Roman"/>
          <w:lang w:eastAsia="es-ES_tradnl"/>
        </w:rPr>
        <w:t xml:space="preserve"> </w:t>
      </w:r>
      <w:r w:rsidR="00B80D5E" w:rsidRPr="00F47564">
        <w:rPr>
          <w:rFonts w:ascii="Times New Roman" w:hAnsi="Times New Roman" w:cs="Times New Roman"/>
          <w:lang w:eastAsia="es-ES_tradnl"/>
        </w:rPr>
        <w:t xml:space="preserve">En este sentido, la cara más visible de la exclusión residencial son las personas sin hogar. El INE sólo considera como tales las que utilizan refugios y recursos alimenticios: </w:t>
      </w:r>
      <w:r w:rsidR="005D634D" w:rsidRPr="00F47564">
        <w:rPr>
          <w:rFonts w:ascii="Times New Roman" w:hAnsi="Times New Roman" w:cs="Times New Roman"/>
          <w:lang w:eastAsia="es-ES_tradnl"/>
        </w:rPr>
        <w:t>una media de 21.684 personas al día utiliza</w:t>
      </w:r>
      <w:r w:rsidR="00B80D5E" w:rsidRPr="00F47564">
        <w:rPr>
          <w:rFonts w:ascii="Times New Roman" w:hAnsi="Times New Roman" w:cs="Times New Roman"/>
          <w:lang w:eastAsia="es-ES_tradnl"/>
        </w:rPr>
        <w:t xml:space="preserve"> servicios de refugio y una media de 51.379 comidas servidas cada día (2022)</w:t>
      </w:r>
      <w:r w:rsidR="00B80D5E" w:rsidRPr="00F47564">
        <w:rPr>
          <w:rStyle w:val="Refdenotaalpie"/>
          <w:rFonts w:ascii="Times New Roman" w:hAnsi="Times New Roman" w:cs="Times New Roman"/>
          <w:lang w:val="ca-ES"/>
        </w:rPr>
        <w:footnoteReference w:id="14"/>
      </w:r>
      <w:r w:rsidR="00B80D5E" w:rsidRPr="00F47564">
        <w:rPr>
          <w:rFonts w:ascii="Times New Roman" w:hAnsi="Times New Roman" w:cs="Times New Roman"/>
          <w:lang w:eastAsia="es-ES_tradnl"/>
        </w:rPr>
        <w:t xml:space="preserve">. Sin embargo, estas cifras difícilmente revelan la verdadera magnitud del problema, ya que el fenómeno de las personas sin hogar incluye no sólo a las personas sin techo y las que viven en albergues para personas sin hogar, sino también otros tipos de alojamiento temporal y quienes viven en viviendas inseguras o inadecuadas, que incluyen el fenómeno de la </w:t>
      </w:r>
      <w:proofErr w:type="spellStart"/>
      <w:r w:rsidR="00B80D5E" w:rsidRPr="00F47564">
        <w:rPr>
          <w:rFonts w:ascii="Times New Roman" w:hAnsi="Times New Roman" w:cs="Times New Roman"/>
          <w:lang w:eastAsia="es-ES_tradnl"/>
        </w:rPr>
        <w:t>okupación</w:t>
      </w:r>
      <w:proofErr w:type="spellEnd"/>
      <w:r w:rsidR="00B80D5E" w:rsidRPr="00F47564">
        <w:rPr>
          <w:rFonts w:ascii="Times New Roman" w:hAnsi="Times New Roman" w:cs="Times New Roman"/>
          <w:lang w:eastAsia="es-ES_tradnl"/>
        </w:rPr>
        <w:t xml:space="preserve"> de viviendas. La ausencia de datos fiables es una constante en estas situaciones de sinhogarismo oculto. Con todo, se estima que alrededor de 78.800 viviendas en España están okupadas en 2023</w:t>
      </w:r>
      <w:r w:rsidR="00B80D5E" w:rsidRPr="00F47564">
        <w:rPr>
          <w:rStyle w:val="Refdenotaalpie"/>
          <w:rFonts w:ascii="Times New Roman" w:hAnsi="Times New Roman" w:cs="Times New Roman"/>
          <w:color w:val="000000" w:themeColor="text1"/>
          <w:lang w:val="ca-ES"/>
        </w:rPr>
        <w:footnoteReference w:id="15"/>
      </w:r>
      <w:r w:rsidR="00B80D5E" w:rsidRPr="00F47564">
        <w:rPr>
          <w:rFonts w:ascii="Times New Roman" w:hAnsi="Times New Roman" w:cs="Times New Roman"/>
          <w:lang w:eastAsia="es-ES_tradnl"/>
        </w:rPr>
        <w:t xml:space="preserve">, y la Fundación </w:t>
      </w:r>
      <w:proofErr w:type="spellStart"/>
      <w:r w:rsidR="00B80D5E" w:rsidRPr="00F47564">
        <w:rPr>
          <w:rFonts w:ascii="Times New Roman" w:hAnsi="Times New Roman" w:cs="Times New Roman"/>
          <w:lang w:eastAsia="es-ES_tradnl"/>
        </w:rPr>
        <w:t>Foessa</w:t>
      </w:r>
      <w:proofErr w:type="spellEnd"/>
      <w:r w:rsidR="00B80D5E" w:rsidRPr="00F47564">
        <w:rPr>
          <w:rFonts w:ascii="Times New Roman" w:hAnsi="Times New Roman" w:cs="Times New Roman"/>
          <w:lang w:eastAsia="es-ES_tradnl"/>
        </w:rPr>
        <w:t xml:space="preserve"> (</w:t>
      </w:r>
      <w:r w:rsidR="00AE232E" w:rsidRPr="00F47564">
        <w:rPr>
          <w:rFonts w:ascii="Times New Roman" w:hAnsi="Times New Roman" w:cs="Times New Roman"/>
        </w:rPr>
        <w:t>Fernández Maíllo, 2019</w:t>
      </w:r>
      <w:r w:rsidR="0077606B" w:rsidRPr="00F47564">
        <w:rPr>
          <w:rFonts w:ascii="Times New Roman" w:hAnsi="Times New Roman" w:cs="Times New Roman"/>
        </w:rPr>
        <w:t xml:space="preserve">, </w:t>
      </w:r>
      <w:r w:rsidR="00AE232E" w:rsidRPr="00F47564">
        <w:rPr>
          <w:rFonts w:ascii="Times New Roman" w:hAnsi="Times New Roman" w:cs="Times New Roman"/>
        </w:rPr>
        <w:t>252</w:t>
      </w:r>
      <w:r w:rsidR="00B80D5E" w:rsidRPr="00F47564">
        <w:rPr>
          <w:rFonts w:ascii="Times New Roman" w:hAnsi="Times New Roman" w:cs="Times New Roman"/>
          <w:lang w:eastAsia="es-ES_tradnl"/>
        </w:rPr>
        <w:t>)</w:t>
      </w:r>
      <w:r w:rsidR="00B80D5E" w:rsidRPr="00F47564">
        <w:rPr>
          <w:rStyle w:val="Refdenotaalpie"/>
          <w:rFonts w:ascii="Times New Roman" w:hAnsi="Times New Roman" w:cs="Times New Roman"/>
          <w:lang w:val="ca-ES"/>
        </w:rPr>
        <w:t xml:space="preserve"> </w:t>
      </w:r>
      <w:r w:rsidR="00B80D5E" w:rsidRPr="00F47564">
        <w:rPr>
          <w:rFonts w:ascii="Times New Roman" w:hAnsi="Times New Roman" w:cs="Times New Roman"/>
          <w:lang w:eastAsia="es-ES_tradnl"/>
        </w:rPr>
        <w:t xml:space="preserve">estima que en España hay más de 4,5 millones de personas residiendo en viviendas inadecuadas y más de 2 millones en viviendas inseguras. </w:t>
      </w:r>
      <w:r w:rsidR="002D3E72" w:rsidRPr="00F47564">
        <w:rPr>
          <w:rFonts w:ascii="Times New Roman" w:hAnsi="Times New Roman" w:cs="Times New Roman"/>
          <w:lang w:eastAsia="es-ES_tradnl"/>
        </w:rPr>
        <w:t xml:space="preserve">A nivel local, </w:t>
      </w:r>
      <w:r w:rsidR="00DD4BDA" w:rsidRPr="00F47564">
        <w:rPr>
          <w:rFonts w:ascii="Times New Roman" w:hAnsi="Times New Roman" w:cs="Times New Roman"/>
          <w:lang w:eastAsia="es-ES_tradnl"/>
        </w:rPr>
        <w:t>el proyecto “</w:t>
      </w:r>
      <w:proofErr w:type="spellStart"/>
      <w:r w:rsidR="00DD4BDA" w:rsidRPr="00F47564">
        <w:rPr>
          <w:rFonts w:ascii="Times New Roman" w:hAnsi="Times New Roman" w:cs="Times New Roman"/>
          <w:lang w:eastAsia="es-ES_tradnl"/>
        </w:rPr>
        <w:t>Liquid</w:t>
      </w:r>
      <w:proofErr w:type="spellEnd"/>
      <w:r w:rsidR="00DD4BDA" w:rsidRPr="00F47564">
        <w:rPr>
          <w:rFonts w:ascii="Times New Roman" w:hAnsi="Times New Roman" w:cs="Times New Roman"/>
          <w:lang w:eastAsia="es-ES_tradnl"/>
        </w:rPr>
        <w:t xml:space="preserve"> </w:t>
      </w:r>
      <w:proofErr w:type="spellStart"/>
      <w:r w:rsidR="00DD4BDA" w:rsidRPr="00F47564">
        <w:rPr>
          <w:rFonts w:ascii="Times New Roman" w:hAnsi="Times New Roman" w:cs="Times New Roman"/>
          <w:lang w:eastAsia="es-ES_tradnl"/>
        </w:rPr>
        <w:t>Housing</w:t>
      </w:r>
      <w:proofErr w:type="spellEnd"/>
      <w:r w:rsidR="00DD4BDA" w:rsidRPr="00F47564">
        <w:rPr>
          <w:rFonts w:ascii="Times New Roman" w:hAnsi="Times New Roman" w:cs="Times New Roman"/>
          <w:lang w:eastAsia="es-ES_tradnl"/>
        </w:rPr>
        <w:t>”</w:t>
      </w:r>
      <w:r w:rsidR="00DD4BDA" w:rsidRPr="00F47564">
        <w:rPr>
          <w:rStyle w:val="Refdenotaalpie"/>
          <w:rFonts w:ascii="Times New Roman" w:hAnsi="Times New Roman" w:cs="Times New Roman"/>
          <w:lang w:eastAsia="es-ES_tradnl"/>
        </w:rPr>
        <w:footnoteReference w:id="16"/>
      </w:r>
      <w:r w:rsidR="00865771" w:rsidRPr="00F47564">
        <w:rPr>
          <w:rFonts w:ascii="Times New Roman" w:hAnsi="Times New Roman" w:cs="Times New Roman"/>
          <w:lang w:eastAsia="es-ES_tradnl"/>
        </w:rPr>
        <w:t xml:space="preserve"> </w:t>
      </w:r>
      <w:r w:rsidR="00335784" w:rsidRPr="00F47564">
        <w:rPr>
          <w:rFonts w:ascii="Times New Roman" w:hAnsi="Times New Roman" w:cs="Times New Roman"/>
          <w:lang w:eastAsia="es-ES_tradnl"/>
        </w:rPr>
        <w:lastRenderedPageBreak/>
        <w:t>muestra que</w:t>
      </w:r>
      <w:r w:rsidR="00486F5E" w:rsidRPr="00F47564">
        <w:rPr>
          <w:rFonts w:ascii="Times New Roman" w:hAnsi="Times New Roman" w:cs="Times New Roman"/>
          <w:lang w:eastAsia="es-ES_tradnl"/>
        </w:rPr>
        <w:t>, para el 33% de los encuestados,</w:t>
      </w:r>
      <w:r w:rsidR="001C68AF" w:rsidRPr="00F47564">
        <w:rPr>
          <w:rFonts w:ascii="Times New Roman" w:hAnsi="Times New Roman" w:cs="Times New Roman"/>
          <w:lang w:eastAsia="es-ES_tradnl"/>
        </w:rPr>
        <w:t xml:space="preserve"> </w:t>
      </w:r>
      <w:r w:rsidR="00D84A8D" w:rsidRPr="00F47564">
        <w:rPr>
          <w:rFonts w:ascii="Times New Roman" w:hAnsi="Times New Roman" w:cs="Times New Roman"/>
          <w:lang w:eastAsia="es-ES_tradnl"/>
        </w:rPr>
        <w:t xml:space="preserve">hay viviendas okupadas en la zona </w:t>
      </w:r>
      <w:r w:rsidR="00D64813" w:rsidRPr="00F47564">
        <w:rPr>
          <w:rFonts w:ascii="Times New Roman" w:hAnsi="Times New Roman" w:cs="Times New Roman"/>
          <w:lang w:eastAsia="es-ES_tradnl"/>
        </w:rPr>
        <w:t xml:space="preserve">de la ciudad de Tarragona </w:t>
      </w:r>
      <w:r w:rsidR="00486F5E" w:rsidRPr="00F47564">
        <w:rPr>
          <w:rFonts w:ascii="Times New Roman" w:hAnsi="Times New Roman" w:cs="Times New Roman"/>
          <w:lang w:eastAsia="es-ES_tradnl"/>
        </w:rPr>
        <w:t>en la que residen</w:t>
      </w:r>
      <w:r w:rsidR="00AA7319" w:rsidRPr="00F47564">
        <w:rPr>
          <w:rFonts w:ascii="Times New Roman" w:hAnsi="Times New Roman" w:cs="Times New Roman"/>
          <w:lang w:eastAsia="es-ES_tradnl"/>
        </w:rPr>
        <w:t xml:space="preserve">, así como </w:t>
      </w:r>
      <w:r w:rsidR="00486F5E" w:rsidRPr="00F47564">
        <w:rPr>
          <w:rFonts w:ascii="Times New Roman" w:hAnsi="Times New Roman" w:cs="Times New Roman"/>
          <w:lang w:eastAsia="es-ES_tradnl"/>
        </w:rPr>
        <w:t>familias en riesgo de desahucio (para el 9%)</w:t>
      </w:r>
      <w:r w:rsidR="003376C5" w:rsidRPr="00F47564">
        <w:rPr>
          <w:rFonts w:ascii="Times New Roman" w:hAnsi="Times New Roman" w:cs="Times New Roman"/>
          <w:lang w:eastAsia="es-ES_tradnl"/>
        </w:rPr>
        <w:t>, vivienda</w:t>
      </w:r>
      <w:r w:rsidR="000E0A6F" w:rsidRPr="00F47564">
        <w:rPr>
          <w:rFonts w:ascii="Times New Roman" w:hAnsi="Times New Roman" w:cs="Times New Roman"/>
          <w:lang w:eastAsia="es-ES_tradnl"/>
        </w:rPr>
        <w:t>s</w:t>
      </w:r>
      <w:r w:rsidR="003376C5" w:rsidRPr="00F47564">
        <w:rPr>
          <w:rFonts w:ascii="Times New Roman" w:hAnsi="Times New Roman" w:cs="Times New Roman"/>
          <w:lang w:eastAsia="es-ES_tradnl"/>
        </w:rPr>
        <w:t xml:space="preserve"> sin un mínimo de habitabilidad (para el 24%), situaciones de pobreza energética (20%) y viviendas masific</w:t>
      </w:r>
      <w:r w:rsidR="005A6326" w:rsidRPr="00F47564">
        <w:rPr>
          <w:rFonts w:ascii="Times New Roman" w:hAnsi="Times New Roman" w:cs="Times New Roman"/>
          <w:lang w:eastAsia="es-ES_tradnl"/>
        </w:rPr>
        <w:t>adas (para el 17%)</w:t>
      </w:r>
      <w:r w:rsidR="004846BC" w:rsidRPr="00F47564">
        <w:rPr>
          <w:rFonts w:ascii="Times New Roman" w:hAnsi="Times New Roman" w:cs="Times New Roman"/>
          <w:lang w:eastAsia="es-ES_tradnl"/>
        </w:rPr>
        <w:t>.</w:t>
      </w:r>
      <w:r w:rsidR="00BC6DA0" w:rsidRPr="00F47564">
        <w:rPr>
          <w:rFonts w:ascii="Times New Roman" w:hAnsi="Times New Roman" w:cs="Times New Roman"/>
          <w:lang w:eastAsia="es-ES_tradnl"/>
        </w:rPr>
        <w:t xml:space="preserve"> Los porcentajes</w:t>
      </w:r>
      <w:r w:rsidR="00D84A8D" w:rsidRPr="00F47564">
        <w:rPr>
          <w:rFonts w:ascii="Times New Roman" w:hAnsi="Times New Roman" w:cs="Times New Roman"/>
          <w:lang w:eastAsia="es-ES_tradnl"/>
        </w:rPr>
        <w:t xml:space="preserve"> </w:t>
      </w:r>
      <w:r w:rsidR="00BC6DA0" w:rsidRPr="00F47564">
        <w:rPr>
          <w:rFonts w:ascii="Times New Roman" w:hAnsi="Times New Roman" w:cs="Times New Roman"/>
          <w:lang w:eastAsia="es-ES_tradnl"/>
        </w:rPr>
        <w:t>son inferiores cuando se les pregunta a</w:t>
      </w:r>
      <w:r w:rsidR="00AE3034" w:rsidRPr="00F47564">
        <w:rPr>
          <w:rFonts w:ascii="Times New Roman" w:hAnsi="Times New Roman" w:cs="Times New Roman"/>
          <w:lang w:eastAsia="es-ES_tradnl"/>
        </w:rPr>
        <w:t xml:space="preserve"> l</w:t>
      </w:r>
      <w:r w:rsidR="004C3A9B" w:rsidRPr="00F47564">
        <w:rPr>
          <w:rFonts w:ascii="Times New Roman" w:hAnsi="Times New Roman" w:cs="Times New Roman"/>
          <w:lang w:eastAsia="es-ES_tradnl"/>
        </w:rPr>
        <w:t>as personas que pertenecen a la junta de la comunidad de propietarios</w:t>
      </w:r>
      <w:r w:rsidR="00D30BB9" w:rsidRPr="00F47564">
        <w:rPr>
          <w:rFonts w:ascii="Times New Roman" w:hAnsi="Times New Roman" w:cs="Times New Roman"/>
          <w:lang w:eastAsia="es-ES_tradnl"/>
        </w:rPr>
        <w:t xml:space="preserve"> (por ejemplo, las viviendas okupadas y las familias en riesgo</w:t>
      </w:r>
      <w:r w:rsidR="00557652" w:rsidRPr="00F47564">
        <w:rPr>
          <w:rFonts w:ascii="Times New Roman" w:hAnsi="Times New Roman" w:cs="Times New Roman"/>
          <w:lang w:eastAsia="es-ES_tradnl"/>
        </w:rPr>
        <w:t xml:space="preserve"> de desahucio solo están presentes para el 7% de los encuestados)</w:t>
      </w:r>
      <w:r w:rsidR="00357322" w:rsidRPr="00F47564">
        <w:rPr>
          <w:rFonts w:ascii="Times New Roman" w:hAnsi="Times New Roman" w:cs="Times New Roman"/>
          <w:lang w:eastAsia="es-ES_tradnl"/>
        </w:rPr>
        <w:t xml:space="preserve">. Este hecho </w:t>
      </w:r>
      <w:r w:rsidR="000916EC" w:rsidRPr="00F47564">
        <w:rPr>
          <w:rFonts w:ascii="Times New Roman" w:hAnsi="Times New Roman" w:cs="Times New Roman"/>
          <w:lang w:eastAsia="es-ES_tradnl"/>
        </w:rPr>
        <w:t>se explica</w:t>
      </w:r>
      <w:r w:rsidR="00B8431B" w:rsidRPr="00F47564">
        <w:rPr>
          <w:rFonts w:ascii="Times New Roman" w:hAnsi="Times New Roman" w:cs="Times New Roman"/>
          <w:lang w:eastAsia="es-ES_tradnl"/>
        </w:rPr>
        <w:t xml:space="preserve"> porque estas problemática</w:t>
      </w:r>
      <w:r w:rsidR="00557652" w:rsidRPr="00F47564">
        <w:rPr>
          <w:rFonts w:ascii="Times New Roman" w:hAnsi="Times New Roman" w:cs="Times New Roman"/>
          <w:lang w:eastAsia="es-ES_tradnl"/>
        </w:rPr>
        <w:t>s</w:t>
      </w:r>
      <w:r w:rsidR="00B8431B" w:rsidRPr="00F47564">
        <w:rPr>
          <w:rFonts w:ascii="Times New Roman" w:hAnsi="Times New Roman" w:cs="Times New Roman"/>
          <w:lang w:eastAsia="es-ES_tradnl"/>
        </w:rPr>
        <w:t xml:space="preserve"> </w:t>
      </w:r>
      <w:r w:rsidR="00532AE4" w:rsidRPr="00F47564">
        <w:rPr>
          <w:rFonts w:ascii="Times New Roman" w:hAnsi="Times New Roman" w:cs="Times New Roman"/>
          <w:lang w:eastAsia="es-ES_tradnl"/>
        </w:rPr>
        <w:t xml:space="preserve">suelen concentrarse en las comunidades que no cuentan con </w:t>
      </w:r>
      <w:r w:rsidR="00B8431B" w:rsidRPr="00F47564">
        <w:rPr>
          <w:rFonts w:ascii="Times New Roman" w:hAnsi="Times New Roman" w:cs="Times New Roman"/>
          <w:lang w:eastAsia="es-ES_tradnl"/>
        </w:rPr>
        <w:t>un administrador de fincas.</w:t>
      </w:r>
      <w:r w:rsidR="00330A73" w:rsidRPr="00F47564">
        <w:rPr>
          <w:rFonts w:ascii="Times New Roman" w:hAnsi="Times New Roman" w:cs="Times New Roman"/>
          <w:lang w:eastAsia="es-ES_tradnl"/>
        </w:rPr>
        <w:t xml:space="preserve"> Sea como fuere,</w:t>
      </w:r>
      <w:r w:rsidR="00B051EE" w:rsidRPr="00F47564">
        <w:rPr>
          <w:rFonts w:ascii="Times New Roman" w:hAnsi="Times New Roman" w:cs="Times New Roman"/>
          <w:lang w:eastAsia="es-ES_tradnl"/>
        </w:rPr>
        <w:t xml:space="preserve"> este proyecto corrobora los resultados </w:t>
      </w:r>
      <w:r w:rsidR="00BD5C0F" w:rsidRPr="00F47564">
        <w:rPr>
          <w:rFonts w:ascii="Times New Roman" w:hAnsi="Times New Roman" w:cs="Times New Roman"/>
          <w:lang w:eastAsia="es-ES_tradnl"/>
        </w:rPr>
        <w:t>de un</w:t>
      </w:r>
      <w:r w:rsidR="009179A9" w:rsidRPr="00F47564">
        <w:rPr>
          <w:rFonts w:ascii="Times New Roman" w:hAnsi="Times New Roman" w:cs="Times New Roman"/>
          <w:lang w:eastAsia="es-ES_tradnl"/>
        </w:rPr>
        <w:t xml:space="preserve"> informe</w:t>
      </w:r>
      <w:r w:rsidR="00BD5C0F" w:rsidRPr="00F47564">
        <w:rPr>
          <w:rFonts w:ascii="Times New Roman" w:hAnsi="Times New Roman" w:cs="Times New Roman"/>
          <w:lang w:eastAsia="es-ES_tradnl"/>
        </w:rPr>
        <w:t xml:space="preserve"> elaborado para el Defensor del Pueblo de Barcelona, en el cual se </w:t>
      </w:r>
      <w:r w:rsidR="005D0F67" w:rsidRPr="00F47564">
        <w:rPr>
          <w:rFonts w:ascii="Times New Roman" w:hAnsi="Times New Roman" w:cs="Times New Roman"/>
          <w:lang w:eastAsia="es-ES_tradnl"/>
        </w:rPr>
        <w:t>constata</w:t>
      </w:r>
      <w:r w:rsidR="00BD5C0F" w:rsidRPr="00F47564">
        <w:rPr>
          <w:rFonts w:ascii="Times New Roman" w:hAnsi="Times New Roman" w:cs="Times New Roman"/>
          <w:lang w:eastAsia="es-ES_tradnl"/>
        </w:rPr>
        <w:t xml:space="preserve"> la existencia de estas situaciones de sinhogarismo oculto en dicha ciudad (</w:t>
      </w:r>
      <w:proofErr w:type="spellStart"/>
      <w:r w:rsidR="00C94A43" w:rsidRPr="00F47564">
        <w:rPr>
          <w:rFonts w:ascii="Times New Roman" w:hAnsi="Times New Roman" w:cs="Times New Roman"/>
          <w:lang w:eastAsia="es-ES_tradnl"/>
        </w:rPr>
        <w:t>Caballé</w:t>
      </w:r>
      <w:proofErr w:type="spellEnd"/>
      <w:r w:rsidR="00C94A43" w:rsidRPr="00F47564">
        <w:rPr>
          <w:rFonts w:ascii="Times New Roman" w:hAnsi="Times New Roman" w:cs="Times New Roman"/>
          <w:lang w:eastAsia="es-ES_tradnl"/>
        </w:rPr>
        <w:t xml:space="preserve">, </w:t>
      </w:r>
      <w:proofErr w:type="spellStart"/>
      <w:r w:rsidR="00C94A43" w:rsidRPr="00F47564">
        <w:rPr>
          <w:rFonts w:ascii="Times New Roman" w:hAnsi="Times New Roman" w:cs="Times New Roman"/>
          <w:lang w:eastAsia="es-ES_tradnl"/>
        </w:rPr>
        <w:t>Garcia</w:t>
      </w:r>
      <w:proofErr w:type="spellEnd"/>
      <w:r w:rsidR="00C94A43" w:rsidRPr="00F47564">
        <w:rPr>
          <w:rFonts w:ascii="Times New Roman" w:hAnsi="Times New Roman" w:cs="Times New Roman"/>
          <w:lang w:eastAsia="es-ES_tradnl"/>
        </w:rPr>
        <w:t xml:space="preserve">, </w:t>
      </w:r>
      <w:proofErr w:type="spellStart"/>
      <w:r w:rsidR="00C94A43" w:rsidRPr="00F47564">
        <w:rPr>
          <w:rFonts w:ascii="Times New Roman" w:hAnsi="Times New Roman" w:cs="Times New Roman"/>
          <w:lang w:eastAsia="es-ES_tradnl"/>
        </w:rPr>
        <w:t>Lambea</w:t>
      </w:r>
      <w:proofErr w:type="spellEnd"/>
      <w:r w:rsidR="00C94A43" w:rsidRPr="00F47564">
        <w:rPr>
          <w:rFonts w:ascii="Times New Roman" w:hAnsi="Times New Roman" w:cs="Times New Roman"/>
          <w:lang w:eastAsia="es-ES_tradnl"/>
        </w:rPr>
        <w:t>, Nasarre y Simón, 2020).</w:t>
      </w:r>
    </w:p>
    <w:p w14:paraId="46072489" w14:textId="407DA9FB" w:rsidR="003804AE" w:rsidRPr="00F47564" w:rsidRDefault="00B80D5E" w:rsidP="00A01F16">
      <w:pPr>
        <w:pStyle w:val="paraOJS"/>
        <w:rPr>
          <w:lang w:eastAsia="es-ES_tradnl"/>
        </w:rPr>
      </w:pPr>
      <w:r w:rsidRPr="00F47564">
        <w:rPr>
          <w:lang w:eastAsia="es-ES_tradnl"/>
        </w:rPr>
        <w:t>En este contexto</w:t>
      </w:r>
      <w:r w:rsidR="004A6AB6" w:rsidRPr="00F47564">
        <w:rPr>
          <w:lang w:eastAsia="es-ES_tradnl"/>
        </w:rPr>
        <w:t>, en Cataluña se ha amparado legalmente la infravivienda desde 2020</w:t>
      </w:r>
      <w:r w:rsidR="00942B64" w:rsidRPr="00F47564">
        <w:rPr>
          <w:rStyle w:val="Refdenotaalpie"/>
          <w:lang w:eastAsia="es-ES_tradnl"/>
        </w:rPr>
        <w:footnoteReference w:id="17"/>
      </w:r>
      <w:r w:rsidR="00F8771D" w:rsidRPr="00F47564">
        <w:rPr>
          <w:lang w:eastAsia="es-ES_tradnl"/>
        </w:rPr>
        <w:t xml:space="preserve"> </w:t>
      </w:r>
      <w:r w:rsidR="004A6AB6" w:rsidRPr="00F47564">
        <w:rPr>
          <w:lang w:eastAsia="es-ES_tradnl"/>
        </w:rPr>
        <w:t xml:space="preserve">al permitir vivir en habitaciones de 24m2 compartiendo espacios comunes, y la </w:t>
      </w:r>
      <w:proofErr w:type="spellStart"/>
      <w:r w:rsidR="004A6AB6" w:rsidRPr="00F47564">
        <w:rPr>
          <w:lang w:eastAsia="es-ES_tradnl"/>
        </w:rPr>
        <w:t>okupación</w:t>
      </w:r>
      <w:proofErr w:type="spellEnd"/>
      <w:r w:rsidR="004A6AB6" w:rsidRPr="00F47564">
        <w:rPr>
          <w:lang w:eastAsia="es-ES_tradnl"/>
        </w:rPr>
        <w:t xml:space="preserve"> se ha promovido como forma de tenencia para acceder a una vivienda</w:t>
      </w:r>
      <w:r w:rsidR="00F8771D" w:rsidRPr="00F47564">
        <w:rPr>
          <w:lang w:eastAsia="es-ES_tradnl"/>
        </w:rPr>
        <w:t xml:space="preserve"> </w:t>
      </w:r>
      <w:r w:rsidR="004A6AB6" w:rsidRPr="00F47564">
        <w:rPr>
          <w:lang w:eastAsia="es-ES_tradnl"/>
        </w:rPr>
        <w:t>tanto a nivel autonómico (Ley catalana 1/2022</w:t>
      </w:r>
      <w:r w:rsidR="004B3756" w:rsidRPr="00F47564">
        <w:rPr>
          <w:rStyle w:val="Refdenotaalpie"/>
          <w:lang w:eastAsia="es-ES_tradnl"/>
        </w:rPr>
        <w:footnoteReference w:id="18"/>
      </w:r>
      <w:r w:rsidR="00F8771D" w:rsidRPr="00F47564">
        <w:rPr>
          <w:lang w:eastAsia="es-ES_tradnl"/>
        </w:rPr>
        <w:t>)</w:t>
      </w:r>
      <w:r w:rsidR="00CB0EE9" w:rsidRPr="00F47564">
        <w:rPr>
          <w:lang w:eastAsia="es-ES_tradnl"/>
        </w:rPr>
        <w:t xml:space="preserve"> </w:t>
      </w:r>
      <w:r w:rsidR="004A6AB6" w:rsidRPr="00F47564">
        <w:rPr>
          <w:lang w:eastAsia="es-ES_tradnl"/>
        </w:rPr>
        <w:t>como, ahora veremos, estatal</w:t>
      </w:r>
      <w:r w:rsidRPr="00F47564">
        <w:rPr>
          <w:lang w:eastAsia="es-ES_tradnl"/>
        </w:rPr>
        <w:t xml:space="preserve">, lo que no nos parece la política más indicada para afrontar </w:t>
      </w:r>
      <w:r w:rsidR="005D634D" w:rsidRPr="00F47564">
        <w:rPr>
          <w:lang w:eastAsia="es-ES_tradnl"/>
        </w:rPr>
        <w:t>estas</w:t>
      </w:r>
      <w:r w:rsidRPr="00F47564">
        <w:rPr>
          <w:lang w:eastAsia="es-ES_tradnl"/>
        </w:rPr>
        <w:t xml:space="preserve"> situaci</w:t>
      </w:r>
      <w:r w:rsidR="005D634D" w:rsidRPr="00F47564">
        <w:rPr>
          <w:lang w:eastAsia="es-ES_tradnl"/>
        </w:rPr>
        <w:t xml:space="preserve">ones </w:t>
      </w:r>
      <w:r w:rsidRPr="00F47564">
        <w:rPr>
          <w:lang w:eastAsia="es-ES_tradnl"/>
        </w:rPr>
        <w:t>de sinhogarismo.</w:t>
      </w:r>
    </w:p>
    <w:p w14:paraId="355F8550" w14:textId="19D01C3D" w:rsidR="00E03EDE" w:rsidRPr="00F47564" w:rsidRDefault="00E24C2F" w:rsidP="00A01F16">
      <w:pPr>
        <w:pStyle w:val="paraOJS"/>
      </w:pPr>
      <w:r w:rsidRPr="00F47564">
        <w:rPr>
          <w:lang w:val="es-ES_tradnl"/>
        </w:rPr>
        <w:t xml:space="preserve">La precarización ha afectado en particular a los colectivos vulnerables. De este modo, </w:t>
      </w:r>
      <w:r w:rsidR="00F57BEA" w:rsidRPr="00F47564">
        <w:rPr>
          <w:lang w:val="es-ES_tradnl"/>
        </w:rPr>
        <w:t xml:space="preserve">por ejemplo, </w:t>
      </w:r>
      <w:r w:rsidR="002C67AC" w:rsidRPr="00F47564">
        <w:rPr>
          <w:lang w:val="es-ES_tradnl"/>
        </w:rPr>
        <w:t>l</w:t>
      </w:r>
      <w:r w:rsidR="00E03EDE" w:rsidRPr="00F47564">
        <w:rPr>
          <w:lang w:val="es-ES_tradnl"/>
        </w:rPr>
        <w:t xml:space="preserve">os inmigrantes </w:t>
      </w:r>
      <w:r w:rsidR="009A087B" w:rsidRPr="00F47564">
        <w:rPr>
          <w:lang w:val="es-ES_tradnl"/>
        </w:rPr>
        <w:t>tienden a</w:t>
      </w:r>
      <w:r w:rsidR="00E03EDE" w:rsidRPr="00F47564">
        <w:rPr>
          <w:lang w:val="es-ES_tradnl"/>
        </w:rPr>
        <w:t xml:space="preserve"> compart</w:t>
      </w:r>
      <w:r w:rsidR="002C67AC" w:rsidRPr="00F47564">
        <w:rPr>
          <w:lang w:val="es-ES_tradnl"/>
        </w:rPr>
        <w:t>ir</w:t>
      </w:r>
      <w:r w:rsidR="009A087B" w:rsidRPr="00F47564">
        <w:rPr>
          <w:lang w:val="es-ES_tradnl"/>
        </w:rPr>
        <w:t xml:space="preserve"> </w:t>
      </w:r>
      <w:r w:rsidR="00E03EDE" w:rsidRPr="00F47564">
        <w:rPr>
          <w:lang w:val="es-ES_tradnl"/>
        </w:rPr>
        <w:t>piso con personas no emparentadas en un porcentaje superior a la población local y tienen más problemas para frente a los gastos relacionados con la vivienda (</w:t>
      </w:r>
      <w:r w:rsidR="00C419F1" w:rsidRPr="00F47564">
        <w:rPr>
          <w:lang w:val="es-ES_tradnl"/>
        </w:rPr>
        <w:t xml:space="preserve">suministros, </w:t>
      </w:r>
      <w:proofErr w:type="gramStart"/>
      <w:r w:rsidR="00C419F1" w:rsidRPr="00F47564">
        <w:rPr>
          <w:lang w:val="es-ES_tradnl"/>
        </w:rPr>
        <w:t>etc</w:t>
      </w:r>
      <w:r w:rsidR="00E03EDE" w:rsidRPr="00F47564">
        <w:rPr>
          <w:lang w:val="es-ES_tradnl"/>
        </w:rPr>
        <w:t>...</w:t>
      </w:r>
      <w:proofErr w:type="gramEnd"/>
      <w:r w:rsidR="00E03EDE" w:rsidRPr="00F47564">
        <w:rPr>
          <w:lang w:val="es-ES_tradnl"/>
        </w:rPr>
        <w:t>)</w:t>
      </w:r>
      <w:r w:rsidR="00F16D6B" w:rsidRPr="00F47564">
        <w:rPr>
          <w:lang w:val="es-ES_tradnl"/>
        </w:rPr>
        <w:t xml:space="preserve"> (</w:t>
      </w:r>
      <w:r w:rsidR="00DF62DE" w:rsidRPr="00F47564">
        <w:rPr>
          <w:lang w:val="es-ES_tradnl"/>
        </w:rPr>
        <w:t>Ay</w:t>
      </w:r>
      <w:r w:rsidR="00DF62DE" w:rsidRPr="00F47564">
        <w:rPr>
          <w:rFonts w:eastAsiaTheme="minorEastAsia"/>
        </w:rPr>
        <w:t xml:space="preserve">ala Cañón, </w:t>
      </w:r>
      <w:proofErr w:type="spellStart"/>
      <w:r w:rsidR="00DF62DE" w:rsidRPr="00F47564">
        <w:rPr>
          <w:rFonts w:eastAsiaTheme="minorEastAsia"/>
        </w:rPr>
        <w:t>Laparra</w:t>
      </w:r>
      <w:proofErr w:type="spellEnd"/>
      <w:r w:rsidR="00DF62DE" w:rsidRPr="00F47564">
        <w:rPr>
          <w:rFonts w:eastAsiaTheme="minorEastAsia"/>
        </w:rPr>
        <w:t xml:space="preserve"> Navarro y Rodríguez Cabrero, 2022, p. 340</w:t>
      </w:r>
      <w:r w:rsidR="00F16D6B" w:rsidRPr="00F47564">
        <w:rPr>
          <w:rFonts w:eastAsiaTheme="minorEastAsia"/>
        </w:rPr>
        <w:t>)</w:t>
      </w:r>
      <w:r w:rsidR="00DF62DE" w:rsidRPr="00F47564">
        <w:rPr>
          <w:rFonts w:eastAsiaTheme="minorEastAsia"/>
        </w:rPr>
        <w:t>. Por su parte, las mujeres</w:t>
      </w:r>
      <w:r w:rsidR="00E03EDE" w:rsidRPr="00F47564">
        <w:rPr>
          <w:lang w:val="es-ES_tradnl"/>
        </w:rPr>
        <w:t xml:space="preserve"> </w:t>
      </w:r>
      <w:r w:rsidR="008D7BE9" w:rsidRPr="00F47564">
        <w:rPr>
          <w:lang w:val="es-ES_tradnl"/>
        </w:rPr>
        <w:t>(</w:t>
      </w:r>
      <w:r w:rsidR="008D7BE9" w:rsidRPr="00F47564">
        <w:rPr>
          <w:kern w:val="1"/>
          <w:lang w:val="es-ES_tradnl"/>
        </w:rPr>
        <w:t>por ejemplo, las que son o han sido víctimas de violencia de género o las que forman parte de una familia monoparental)</w:t>
      </w:r>
      <w:r w:rsidR="008D7BE9" w:rsidRPr="00F47564" w:rsidDel="00BE347D">
        <w:rPr>
          <w:lang w:val="es-ES_tradnl"/>
        </w:rPr>
        <w:t xml:space="preserve"> </w:t>
      </w:r>
      <w:r w:rsidR="00BE347D" w:rsidRPr="00F47564">
        <w:rPr>
          <w:lang w:val="es-ES_tradnl"/>
        </w:rPr>
        <w:t>también sufren</w:t>
      </w:r>
      <w:r w:rsidR="00E03EDE" w:rsidRPr="00F47564">
        <w:rPr>
          <w:kern w:val="1"/>
          <w:lang w:val="es-ES_tradnl"/>
        </w:rPr>
        <w:t xml:space="preserve"> discriminación y desigualdad en materia de vivienda</w:t>
      </w:r>
      <w:r w:rsidR="008D7BE9" w:rsidRPr="00F47564">
        <w:rPr>
          <w:kern w:val="1"/>
          <w:lang w:val="es-ES_tradnl"/>
        </w:rPr>
        <w:t xml:space="preserve"> y </w:t>
      </w:r>
      <w:r w:rsidR="00031703" w:rsidRPr="00F47564">
        <w:rPr>
          <w:kern w:val="1"/>
          <w:lang w:val="es-ES_tradnl"/>
        </w:rPr>
        <w:t>desarrollan diversas estrategias para evitar</w:t>
      </w:r>
      <w:r w:rsidR="00E03EDE" w:rsidRPr="00F47564">
        <w:rPr>
          <w:kern w:val="1"/>
          <w:lang w:val="es-ES_tradnl"/>
        </w:rPr>
        <w:t xml:space="preserve"> quedarse sin hogar </w:t>
      </w:r>
      <w:r w:rsidR="008A52D0" w:rsidRPr="00F47564">
        <w:rPr>
          <w:kern w:val="1"/>
          <w:lang w:val="es-ES_tradnl"/>
        </w:rPr>
        <w:t>(</w:t>
      </w:r>
      <w:proofErr w:type="spellStart"/>
      <w:r w:rsidR="00B055F6" w:rsidRPr="00F47564">
        <w:rPr>
          <w:kern w:val="1"/>
        </w:rPr>
        <w:t>Penya</w:t>
      </w:r>
      <w:proofErr w:type="spellEnd"/>
      <w:r w:rsidR="00B055F6" w:rsidRPr="00F47564">
        <w:rPr>
          <w:kern w:val="1"/>
        </w:rPr>
        <w:t xml:space="preserve"> i </w:t>
      </w:r>
      <w:r w:rsidR="00B055F6" w:rsidRPr="00F47564">
        <w:rPr>
          <w:kern w:val="1"/>
        </w:rPr>
        <w:lastRenderedPageBreak/>
        <w:t xml:space="preserve">Guilarte y </w:t>
      </w:r>
      <w:proofErr w:type="spellStart"/>
      <w:r w:rsidR="00B055F6" w:rsidRPr="00F47564">
        <w:rPr>
          <w:kern w:val="1"/>
        </w:rPr>
        <w:t>Maranillo</w:t>
      </w:r>
      <w:proofErr w:type="spellEnd"/>
      <w:r w:rsidR="00B055F6" w:rsidRPr="00F47564">
        <w:rPr>
          <w:kern w:val="1"/>
        </w:rPr>
        <w:t>-Castillo, 2022).</w:t>
      </w:r>
      <w:r w:rsidR="00E03EDE" w:rsidRPr="00F47564">
        <w:rPr>
          <w:rStyle w:val="Refdenotaalpie"/>
          <w:rFonts w:eastAsiaTheme="majorEastAsia"/>
          <w:kern w:val="1"/>
          <w:lang w:val="es-ES_tradnl"/>
        </w:rPr>
        <w:footnoteReference w:id="19"/>
      </w:r>
      <w:r w:rsidR="00E03EDE" w:rsidRPr="00F47564">
        <w:rPr>
          <w:kern w:val="1"/>
          <w:lang w:val="es-ES_tradnl"/>
        </w:rPr>
        <w:t>.</w:t>
      </w:r>
      <w:r w:rsidR="00156014" w:rsidRPr="00F47564">
        <w:rPr>
          <w:kern w:val="1"/>
          <w:lang w:val="es-ES_tradnl"/>
        </w:rPr>
        <w:t xml:space="preserve"> En el caso de los jóvenes, la dificultad para acceder a una vivienda asequible</w:t>
      </w:r>
      <w:r w:rsidR="00113926" w:rsidRPr="00F47564">
        <w:rPr>
          <w:kern w:val="1"/>
          <w:lang w:val="es-ES_tradnl"/>
        </w:rPr>
        <w:t xml:space="preserve"> </w:t>
      </w:r>
      <w:proofErr w:type="gramStart"/>
      <w:r w:rsidR="00113926" w:rsidRPr="00F47564">
        <w:rPr>
          <w:kern w:val="1"/>
          <w:lang w:val="es-ES_tradnl"/>
        </w:rPr>
        <w:t>les</w:t>
      </w:r>
      <w:proofErr w:type="gramEnd"/>
      <w:r w:rsidR="00156014" w:rsidRPr="00F47564">
        <w:rPr>
          <w:kern w:val="1"/>
          <w:lang w:val="es-ES_tradnl"/>
        </w:rPr>
        <w:t xml:space="preserve"> lleva a vivir con familiares</w:t>
      </w:r>
      <w:r w:rsidR="00113926" w:rsidRPr="00F47564">
        <w:rPr>
          <w:kern w:val="1"/>
          <w:lang w:val="es-ES_tradnl"/>
        </w:rPr>
        <w:t xml:space="preserve"> o</w:t>
      </w:r>
      <w:r w:rsidR="00156014" w:rsidRPr="00F47564">
        <w:rPr>
          <w:kern w:val="1"/>
          <w:lang w:val="es-ES_tradnl"/>
        </w:rPr>
        <w:t xml:space="preserve"> amigos</w:t>
      </w:r>
      <w:r w:rsidR="00E24222" w:rsidRPr="00F47564">
        <w:rPr>
          <w:kern w:val="1"/>
          <w:lang w:val="es-ES_tradnl"/>
        </w:rPr>
        <w:t xml:space="preserve"> (el precio de una habitación se ha incrementado un 43% en los últimos tres años</w:t>
      </w:r>
      <w:r w:rsidR="005E1339" w:rsidRPr="00F47564">
        <w:rPr>
          <w:kern w:val="1"/>
          <w:lang w:val="es-ES_tradnl"/>
        </w:rPr>
        <w:t xml:space="preserve"> en España</w:t>
      </w:r>
      <w:r w:rsidR="00E24222" w:rsidRPr="00F47564">
        <w:rPr>
          <w:kern w:val="1"/>
          <w:lang w:val="es-ES_tradnl"/>
        </w:rPr>
        <w:t>)</w:t>
      </w:r>
      <w:r w:rsidR="00E24222" w:rsidRPr="00F47564">
        <w:rPr>
          <w:rStyle w:val="Refdenotaalpie"/>
          <w:kern w:val="1"/>
          <w:lang w:val="es-ES_tradnl"/>
        </w:rPr>
        <w:footnoteReference w:id="20"/>
      </w:r>
      <w:r w:rsidR="00156014" w:rsidRPr="00F47564">
        <w:rPr>
          <w:kern w:val="1"/>
          <w:lang w:val="es-ES_tradnl"/>
        </w:rPr>
        <w:t xml:space="preserve">, </w:t>
      </w:r>
      <w:r w:rsidR="005F7FB1" w:rsidRPr="00F47564">
        <w:rPr>
          <w:kern w:val="1"/>
          <w:lang w:val="es-ES_tradnl"/>
        </w:rPr>
        <w:t xml:space="preserve">lo que </w:t>
      </w:r>
      <w:r w:rsidR="00113926" w:rsidRPr="00F47564">
        <w:rPr>
          <w:kern w:val="1"/>
          <w:lang w:val="es-ES_tradnl"/>
        </w:rPr>
        <w:t>tiene un impacto directo en</w:t>
      </w:r>
      <w:r w:rsidR="005F7FB1" w:rsidRPr="00F47564">
        <w:rPr>
          <w:kern w:val="1"/>
          <w:lang w:val="es-ES_tradnl"/>
        </w:rPr>
        <w:t xml:space="preserve"> la edad de emancipación </w:t>
      </w:r>
      <w:r w:rsidR="00DE6276" w:rsidRPr="00F47564">
        <w:rPr>
          <w:kern w:val="1"/>
          <w:lang w:val="es-ES_tradnl"/>
        </w:rPr>
        <w:t>(que supera los 30 años frente a los 26 de la media de la Unión Europea)</w:t>
      </w:r>
      <w:r w:rsidR="000D7336" w:rsidRPr="00F47564">
        <w:rPr>
          <w:kern w:val="1"/>
          <w:lang w:val="es-ES_tradnl"/>
        </w:rPr>
        <w:t xml:space="preserve"> y </w:t>
      </w:r>
      <w:r w:rsidR="00262B19" w:rsidRPr="00F47564">
        <w:rPr>
          <w:kern w:val="1"/>
          <w:lang w:val="es-ES_tradnl"/>
        </w:rPr>
        <w:t>en</w:t>
      </w:r>
      <w:r w:rsidR="000D7336" w:rsidRPr="00F47564">
        <w:rPr>
          <w:kern w:val="1"/>
          <w:lang w:val="es-ES_tradnl"/>
        </w:rPr>
        <w:t xml:space="preserve"> las tasas de natalidad</w:t>
      </w:r>
      <w:r w:rsidR="006929EF" w:rsidRPr="00F47564">
        <w:rPr>
          <w:kern w:val="1"/>
          <w:lang w:val="es-ES_tradnl"/>
        </w:rPr>
        <w:t xml:space="preserve"> (Torres, R., 2023)</w:t>
      </w:r>
      <w:r w:rsidR="00B055F6" w:rsidRPr="00F47564">
        <w:rPr>
          <w:kern w:val="1"/>
          <w:lang w:val="es-ES_tradnl"/>
        </w:rPr>
        <w:t>.</w:t>
      </w:r>
      <w:r w:rsidR="00156014" w:rsidRPr="00F47564">
        <w:rPr>
          <w:kern w:val="1"/>
          <w:lang w:val="es-ES_tradnl"/>
        </w:rPr>
        <w:t xml:space="preserve"> </w:t>
      </w:r>
      <w:r w:rsidR="00B055F6" w:rsidRPr="00F47564">
        <w:rPr>
          <w:kern w:val="1"/>
          <w:lang w:val="es-ES_tradnl"/>
        </w:rPr>
        <w:t>En relación con</w:t>
      </w:r>
      <w:r w:rsidR="00156014" w:rsidRPr="00F47564">
        <w:rPr>
          <w:kern w:val="1"/>
          <w:lang w:val="es-ES_tradnl"/>
        </w:rPr>
        <w:t xml:space="preserve"> los jóvenes ex tutelados, estos se encuentran con falta de redes familiares o de apoyo social cuando se enfrentan al proceso de desinstitucionalización</w:t>
      </w:r>
      <w:r w:rsidR="00C17FE8" w:rsidRPr="00F47564">
        <w:rPr>
          <w:kern w:val="1"/>
          <w:lang w:val="es-ES_tradnl"/>
        </w:rPr>
        <w:t xml:space="preserve"> (</w:t>
      </w:r>
      <w:r w:rsidR="00B43B49" w:rsidRPr="00F47564">
        <w:rPr>
          <w:color w:val="000000" w:themeColor="text1"/>
        </w:rPr>
        <w:t>De Inés, Guzmán, Verdaguer y Contreras, 2019, p. 85)</w:t>
      </w:r>
      <w:r w:rsidR="00156014" w:rsidRPr="00F47564">
        <w:rPr>
          <w:color w:val="211E1E"/>
          <w:lang w:val="es-ES_tradnl"/>
        </w:rPr>
        <w:t>.</w:t>
      </w:r>
    </w:p>
    <w:p w14:paraId="56C4B947" w14:textId="5FD80C8D" w:rsidR="00EA76F7" w:rsidRPr="00F47564" w:rsidRDefault="004A6AB6" w:rsidP="00A01F16">
      <w:pPr>
        <w:pStyle w:val="paraOJS"/>
      </w:pPr>
      <w:r w:rsidRPr="00F47564">
        <w:rPr>
          <w:lang w:eastAsia="es-ES_tradnl"/>
        </w:rPr>
        <w:t xml:space="preserve">Las reacciones del legislador, como decíamos, han sido erráticas, con la implementación de medidas de protección de los inquilinos </w:t>
      </w:r>
      <w:r w:rsidR="0080110E" w:rsidRPr="00F47564">
        <w:rPr>
          <w:lang w:eastAsia="es-ES_tradnl"/>
        </w:rPr>
        <w:t xml:space="preserve">vulnerables </w:t>
      </w:r>
      <w:r w:rsidRPr="00F47564">
        <w:rPr>
          <w:lang w:eastAsia="es-ES_tradnl"/>
        </w:rPr>
        <w:t>(incluyendo a los okupas) en los desahucios (RDL 11/2020</w:t>
      </w:r>
      <w:r w:rsidR="00C54B97" w:rsidRPr="00F47564">
        <w:rPr>
          <w:rStyle w:val="Refdenotaalpie"/>
          <w:lang w:eastAsia="es-ES_tradnl"/>
        </w:rPr>
        <w:footnoteReference w:id="21"/>
      </w:r>
      <w:r w:rsidR="0043169A" w:rsidRPr="00F47564">
        <w:rPr>
          <w:lang w:eastAsia="es-ES_tradnl"/>
        </w:rPr>
        <w:t xml:space="preserve">, </w:t>
      </w:r>
      <w:r w:rsidR="0080110E" w:rsidRPr="00F47564">
        <w:rPr>
          <w:lang w:eastAsia="es-ES_tradnl"/>
        </w:rPr>
        <w:t xml:space="preserve">una medida dictada en tiempos de la </w:t>
      </w:r>
      <w:r w:rsidR="001725E7" w:rsidRPr="00F47564">
        <w:rPr>
          <w:lang w:eastAsia="es-ES_tradnl"/>
        </w:rPr>
        <w:t>COVID</w:t>
      </w:r>
      <w:r w:rsidR="0080110E" w:rsidRPr="00F47564">
        <w:rPr>
          <w:lang w:eastAsia="es-ES_tradnl"/>
        </w:rPr>
        <w:t xml:space="preserve">-19, pero que </w:t>
      </w:r>
      <w:r w:rsidR="006638CD" w:rsidRPr="00F47564">
        <w:rPr>
          <w:lang w:eastAsia="es-ES_tradnl"/>
        </w:rPr>
        <w:t xml:space="preserve">se ha ido prorrogando y </w:t>
      </w:r>
      <w:r w:rsidR="0080110E" w:rsidRPr="00F47564">
        <w:rPr>
          <w:lang w:eastAsia="es-ES_tradnl"/>
        </w:rPr>
        <w:t xml:space="preserve">está </w:t>
      </w:r>
      <w:r w:rsidRPr="00F47564">
        <w:rPr>
          <w:lang w:eastAsia="es-ES_tradnl"/>
        </w:rPr>
        <w:t>en vigor, de momento, hasta el 31-12-2025</w:t>
      </w:r>
      <w:r w:rsidR="006638CD" w:rsidRPr="00F47564">
        <w:rPr>
          <w:rStyle w:val="Refdenotaalpie"/>
          <w:lang w:eastAsia="es-ES_tradnl"/>
        </w:rPr>
        <w:footnoteReference w:id="22"/>
      </w:r>
      <w:r w:rsidRPr="00F47564">
        <w:rPr>
          <w:lang w:eastAsia="es-ES_tradnl"/>
        </w:rPr>
        <w:t xml:space="preserve">) o la limitación </w:t>
      </w:r>
      <w:r w:rsidR="0080110E" w:rsidRPr="00F47564">
        <w:rPr>
          <w:lang w:eastAsia="es-ES_tradnl"/>
        </w:rPr>
        <w:t xml:space="preserve">obligatoria </w:t>
      </w:r>
      <w:r w:rsidRPr="00F47564">
        <w:rPr>
          <w:lang w:eastAsia="es-ES_tradnl"/>
        </w:rPr>
        <w:t>de la actualización de la renta en los contratos</w:t>
      </w:r>
      <w:r w:rsidR="006638CD" w:rsidRPr="00F47564">
        <w:rPr>
          <w:lang w:eastAsia="es-ES_tradnl"/>
        </w:rPr>
        <w:t xml:space="preserve"> de alquiler (el 2,20% para 2025)</w:t>
      </w:r>
      <w:r w:rsidR="00DA3D1F" w:rsidRPr="00F47564">
        <w:rPr>
          <w:rStyle w:val="Refdenotaalpie"/>
          <w:lang w:eastAsia="es-ES_tradnl"/>
        </w:rPr>
        <w:footnoteReference w:id="23"/>
      </w:r>
      <w:r w:rsidR="00126495" w:rsidRPr="00F47564">
        <w:rPr>
          <w:lang w:eastAsia="es-ES_tradnl"/>
        </w:rPr>
        <w:t xml:space="preserve">, </w:t>
      </w:r>
      <w:r w:rsidRPr="00F47564">
        <w:rPr>
          <w:lang w:eastAsia="es-ES_tradnl"/>
        </w:rPr>
        <w:t>siendo una expropiación encubierta</w:t>
      </w:r>
      <w:r w:rsidR="0077606B" w:rsidRPr="00F47564">
        <w:rPr>
          <w:lang w:eastAsia="es-ES_tradnl"/>
        </w:rPr>
        <w:t xml:space="preserve"> (</w:t>
      </w:r>
      <w:r w:rsidR="00EB4151" w:rsidRPr="00F47564">
        <w:t>Nasarre Aznar</w:t>
      </w:r>
      <w:r w:rsidR="0077606B" w:rsidRPr="00F47564">
        <w:t>, 2022, 11</w:t>
      </w:r>
      <w:r w:rsidR="00EB4151" w:rsidRPr="00F47564">
        <w:t>)</w:t>
      </w:r>
      <w:r w:rsidR="00126495" w:rsidRPr="00F47564">
        <w:rPr>
          <w:lang w:eastAsia="es-ES_tradnl"/>
        </w:rPr>
        <w:t xml:space="preserve">, </w:t>
      </w:r>
      <w:r w:rsidRPr="00F47564">
        <w:rPr>
          <w:lang w:eastAsia="es-ES_tradnl"/>
        </w:rPr>
        <w:t>que pueden generar efectos no deseados en la oferta de vivienda de alquiler,</w:t>
      </w:r>
      <w:r w:rsidRPr="00F47564">
        <w:t xml:space="preserve"> </w:t>
      </w:r>
      <w:r w:rsidRPr="00F47564">
        <w:rPr>
          <w:lang w:eastAsia="es-ES_tradnl"/>
        </w:rPr>
        <w:t>así como a los precios de los nuevos contratos</w:t>
      </w:r>
      <w:r w:rsidR="004A3126" w:rsidRPr="00F47564">
        <w:rPr>
          <w:rStyle w:val="Refdenotaalpie"/>
          <w:lang w:eastAsia="es-ES_tradnl"/>
        </w:rPr>
        <w:footnoteReference w:id="24"/>
      </w:r>
      <w:r w:rsidR="00E66C66" w:rsidRPr="00F47564">
        <w:rPr>
          <w:lang w:eastAsia="es-ES_tradnl"/>
        </w:rPr>
        <w:t>,</w:t>
      </w:r>
      <w:r w:rsidR="006F7674" w:rsidRPr="00F47564">
        <w:rPr>
          <w:lang w:eastAsia="es-ES_tradnl"/>
        </w:rPr>
        <w:t xml:space="preserve"> </w:t>
      </w:r>
      <w:r w:rsidRPr="00F47564">
        <w:rPr>
          <w:lang w:eastAsia="es-ES_tradnl"/>
        </w:rPr>
        <w:t>o los bonos al alquiler y avales públicos para la compra de una vivienda</w:t>
      </w:r>
      <w:r w:rsidR="001362E7" w:rsidRPr="00F47564">
        <w:rPr>
          <w:rStyle w:val="Refdenotaalpie"/>
          <w:lang w:eastAsia="es-ES_tradnl"/>
        </w:rPr>
        <w:footnoteReference w:id="25"/>
      </w:r>
      <w:r w:rsidR="00E66C66" w:rsidRPr="00F47564">
        <w:rPr>
          <w:lang w:eastAsia="es-ES_tradnl"/>
        </w:rPr>
        <w:t xml:space="preserve">, </w:t>
      </w:r>
      <w:r w:rsidRPr="00F47564">
        <w:rPr>
          <w:lang w:eastAsia="es-ES_tradnl"/>
        </w:rPr>
        <w:t>que contribuyen a un incremento adicional de los precios de venta y alquiler ya</w:t>
      </w:r>
      <w:r w:rsidR="0080110E" w:rsidRPr="00F47564">
        <w:rPr>
          <w:lang w:eastAsia="es-ES_tradnl"/>
        </w:rPr>
        <w:t xml:space="preserve"> </w:t>
      </w:r>
      <w:r w:rsidRPr="00F47564">
        <w:rPr>
          <w:lang w:eastAsia="es-ES_tradnl"/>
        </w:rPr>
        <w:t xml:space="preserve"> una transferencia de recursos del sector público a los propietarios de vivienda</w:t>
      </w:r>
      <w:r w:rsidR="0080110E" w:rsidRPr="00F47564">
        <w:rPr>
          <w:lang w:eastAsia="es-ES_tradnl"/>
        </w:rPr>
        <w:t>s</w:t>
      </w:r>
      <w:r w:rsidR="00961DA1" w:rsidRPr="00F47564">
        <w:rPr>
          <w:rStyle w:val="Refdenotaalpie"/>
          <w:lang w:eastAsia="es-ES_tradnl"/>
        </w:rPr>
        <w:footnoteReference w:id="26"/>
      </w:r>
      <w:r w:rsidR="0063332E" w:rsidRPr="00F47564">
        <w:rPr>
          <w:lang w:eastAsia="es-ES_tradnl"/>
        </w:rPr>
        <w:t xml:space="preserve">. </w:t>
      </w:r>
    </w:p>
    <w:p w14:paraId="4809137A" w14:textId="3A16D1C5" w:rsidR="00422217" w:rsidRDefault="004A6AB6" w:rsidP="00A01F16">
      <w:pPr>
        <w:pStyle w:val="paraOJS"/>
        <w:rPr>
          <w:rFonts w:eastAsia="Times New Roman"/>
          <w:lang w:eastAsia="es-ES_tradnl"/>
          <w14:ligatures w14:val="none"/>
        </w:rPr>
      </w:pPr>
      <w:r w:rsidRPr="00F47564">
        <w:rPr>
          <w:rFonts w:eastAsia="Times New Roman"/>
          <w:lang w:eastAsia="es-ES_tradnl"/>
          <w14:ligatures w14:val="none"/>
        </w:rPr>
        <w:lastRenderedPageBreak/>
        <w:t>Por otra parte, la Ley estatal de vivienda de 2023</w:t>
      </w:r>
      <w:r w:rsidR="00DE72AF" w:rsidRPr="00F47564">
        <w:rPr>
          <w:rStyle w:val="Refdenotaalpie"/>
          <w:rFonts w:eastAsia="Times New Roman"/>
          <w:lang w:eastAsia="es-ES_tradnl"/>
          <w14:ligatures w14:val="none"/>
        </w:rPr>
        <w:footnoteReference w:id="27"/>
      </w:r>
      <w:r w:rsidR="00857F94" w:rsidRPr="00F47564">
        <w:rPr>
          <w:rFonts w:eastAsia="Times New Roman"/>
          <w:lang w:eastAsia="es-ES_tradnl"/>
          <w14:ligatures w14:val="none"/>
        </w:rPr>
        <w:t>, cuyos preceptos han sido parcialmente anulados</w:t>
      </w:r>
      <w:r w:rsidR="0063332E" w:rsidRPr="00F47564">
        <w:rPr>
          <w:rFonts w:eastAsia="Times New Roman"/>
          <w:lang w:eastAsia="es-ES_tradnl"/>
          <w14:ligatures w14:val="none"/>
        </w:rPr>
        <w:t xml:space="preserve"> </w:t>
      </w:r>
      <w:r w:rsidR="00857F94" w:rsidRPr="00F47564">
        <w:rPr>
          <w:rFonts w:eastAsia="Times New Roman"/>
          <w:lang w:eastAsia="es-ES_tradnl"/>
          <w14:ligatures w14:val="none"/>
        </w:rPr>
        <w:t xml:space="preserve">por </w:t>
      </w:r>
      <w:r w:rsidRPr="00F47564">
        <w:rPr>
          <w:rFonts w:eastAsia="Times New Roman"/>
          <w:lang w:eastAsia="es-ES_tradnl"/>
          <w14:ligatures w14:val="none"/>
        </w:rPr>
        <w:t>el Tribunal Constitucional</w:t>
      </w:r>
      <w:r w:rsidR="003A0E0E" w:rsidRPr="00F47564">
        <w:rPr>
          <w:rStyle w:val="Refdenotaalpie"/>
          <w:rFonts w:eastAsia="Times New Roman"/>
          <w:lang w:eastAsia="es-ES_tradnl"/>
          <w14:ligatures w14:val="none"/>
        </w:rPr>
        <w:footnoteReference w:id="28"/>
      </w:r>
      <w:r w:rsidR="00857F94" w:rsidRPr="00F47564">
        <w:rPr>
          <w:rFonts w:eastAsia="Times New Roman"/>
          <w:lang w:eastAsia="es-ES_tradnl"/>
          <w14:ligatures w14:val="none"/>
        </w:rPr>
        <w:t>,</w:t>
      </w:r>
      <w:r w:rsidR="003A0E0E" w:rsidRPr="00F47564">
        <w:rPr>
          <w:rFonts w:eastAsia="Times New Roman"/>
          <w:lang w:eastAsia="es-ES_tradnl"/>
          <w14:ligatures w14:val="none"/>
        </w:rPr>
        <w:t xml:space="preserve"> </w:t>
      </w:r>
      <w:r w:rsidR="00857F94" w:rsidRPr="00F47564">
        <w:rPr>
          <w:rFonts w:eastAsia="Times New Roman"/>
          <w:lang w:eastAsia="es-ES_tradnl"/>
          <w14:ligatures w14:val="none"/>
        </w:rPr>
        <w:t xml:space="preserve">representa </w:t>
      </w:r>
      <w:r w:rsidRPr="00F47564">
        <w:rPr>
          <w:rFonts w:eastAsia="Times New Roman"/>
          <w:lang w:eastAsia="es-ES_tradnl"/>
          <w14:ligatures w14:val="none"/>
        </w:rPr>
        <w:t>una</w:t>
      </w:r>
      <w:r w:rsidRPr="00F47564">
        <w:rPr>
          <w:rFonts w:eastAsia="Times New Roman"/>
          <w:sz w:val="22"/>
          <w:szCs w:val="22"/>
          <w:lang w:eastAsia="es-ES_tradnl"/>
          <w14:ligatures w14:val="none"/>
        </w:rPr>
        <w:t xml:space="preserve"> renuncia del </w:t>
      </w:r>
      <w:r w:rsidRPr="00F47564">
        <w:rPr>
          <w:rFonts w:eastAsia="Times New Roman"/>
          <w:lang w:eastAsia="es-ES_tradnl"/>
          <w14:ligatures w14:val="none"/>
        </w:rPr>
        <w:t xml:space="preserve">Estado a hacer política de vivienda a costa de los propietarios privados, cuyos preceptos son meras declaraciones de intenciones (como los referentes a la accesibilidad, art. 13), pero con otros que implican un endurecimiento de las condiciones </w:t>
      </w:r>
      <w:r w:rsidR="0080110E" w:rsidRPr="00F47564">
        <w:rPr>
          <w:rFonts w:eastAsia="Times New Roman"/>
          <w:lang w:eastAsia="es-ES_tradnl"/>
          <w14:ligatures w14:val="none"/>
        </w:rPr>
        <w:t xml:space="preserve">y requisitos </w:t>
      </w:r>
      <w:r w:rsidRPr="00F47564">
        <w:rPr>
          <w:rFonts w:eastAsia="Times New Roman"/>
          <w:lang w:eastAsia="es-ES_tradnl"/>
          <w14:ligatures w14:val="none"/>
        </w:rPr>
        <w:t>para llevar a cabo los desahucios</w:t>
      </w:r>
      <w:r w:rsidR="0080110E" w:rsidRPr="00F47564">
        <w:rPr>
          <w:rFonts w:eastAsia="Times New Roman"/>
          <w:lang w:eastAsia="es-ES_tradnl"/>
          <w14:ligatures w14:val="none"/>
        </w:rPr>
        <w:t xml:space="preserve"> si la persona propietaria tiene la condición de gran tenedora</w:t>
      </w:r>
      <w:r w:rsidRPr="00F47564">
        <w:rPr>
          <w:rFonts w:eastAsia="Times New Roman"/>
          <w:lang w:eastAsia="es-ES_tradnl"/>
          <w14:ligatures w14:val="none"/>
        </w:rPr>
        <w:t xml:space="preserve"> (Disposición Final 5ª</w:t>
      </w:r>
      <w:r w:rsidR="002D5BC9" w:rsidRPr="00F47564">
        <w:rPr>
          <w:rFonts w:eastAsia="Times New Roman"/>
          <w:lang w:eastAsia="es-ES_tradnl"/>
          <w14:ligatures w14:val="none"/>
        </w:rPr>
        <w:t>, que ha sido</w:t>
      </w:r>
      <w:r w:rsidR="004E21B0" w:rsidRPr="00F47564">
        <w:rPr>
          <w:rFonts w:eastAsia="Times New Roman"/>
          <w:lang w:eastAsia="es-ES_tradnl"/>
          <w14:ligatures w14:val="none"/>
        </w:rPr>
        <w:t xml:space="preserve"> declarada inconstitucional</w:t>
      </w:r>
      <w:r w:rsidR="00EA5C0A" w:rsidRPr="00F47564">
        <w:rPr>
          <w:rFonts w:eastAsia="Times New Roman"/>
          <w:lang w:eastAsia="es-ES_tradnl"/>
          <w14:ligatures w14:val="none"/>
        </w:rPr>
        <w:t xml:space="preserve"> por</w:t>
      </w:r>
      <w:r w:rsidR="002D5BC9" w:rsidRPr="00F47564">
        <w:rPr>
          <w:rFonts w:eastAsia="Times New Roman"/>
          <w:lang w:eastAsia="es-ES_tradnl"/>
          <w14:ligatures w14:val="none"/>
        </w:rPr>
        <w:t xml:space="preserve"> </w:t>
      </w:r>
      <w:r w:rsidR="00DA5DB1" w:rsidRPr="00F47564">
        <w:rPr>
          <w:rFonts w:eastAsia="Times New Roman"/>
          <w:lang w:eastAsia="es-ES_tradnl"/>
          <w14:ligatures w14:val="none"/>
        </w:rPr>
        <w:t>STC 26/2025, de 29 de enero</w:t>
      </w:r>
      <w:r w:rsidR="00DA5DB1" w:rsidRPr="00F47564">
        <w:rPr>
          <w:rStyle w:val="Refdenotaalpie"/>
          <w:rFonts w:eastAsia="Times New Roman"/>
          <w:lang w:eastAsia="es-ES_tradnl"/>
          <w14:ligatures w14:val="none"/>
        </w:rPr>
        <w:footnoteReference w:id="29"/>
      </w:r>
      <w:r w:rsidRPr="00F47564">
        <w:rPr>
          <w:rFonts w:eastAsia="Times New Roman"/>
          <w:lang w:eastAsia="es-ES_tradnl"/>
          <w14:ligatures w14:val="none"/>
        </w:rPr>
        <w:t>), la conversión de la propiedad de una vivienda en una tenencia controlada y tutelada por el Estado (art. 10.1.a)</w:t>
      </w:r>
      <w:r w:rsidR="00275473" w:rsidRPr="00F47564">
        <w:rPr>
          <w:rFonts w:eastAsia="Times New Roman"/>
          <w:lang w:eastAsia="es-ES_tradnl"/>
          <w14:ligatures w14:val="none"/>
        </w:rPr>
        <w:t xml:space="preserve"> (</w:t>
      </w:r>
      <w:r w:rsidR="00275473" w:rsidRPr="00F47564">
        <w:t>Simón Moreno, 2023, pp. 139 y ss.)</w:t>
      </w:r>
      <w:r w:rsidR="00556793" w:rsidRPr="00F47564">
        <w:rPr>
          <w:rFonts w:eastAsia="Times New Roman"/>
          <w:lang w:eastAsia="es-ES_tradnl"/>
          <w14:ligatures w14:val="none"/>
        </w:rPr>
        <w:t xml:space="preserve"> </w:t>
      </w:r>
      <w:r w:rsidRPr="00F47564">
        <w:rPr>
          <w:rFonts w:eastAsia="Times New Roman"/>
          <w:lang w:eastAsia="es-ES_tradnl"/>
          <w14:ligatures w14:val="none"/>
        </w:rPr>
        <w:t>o la legitimación en las Comunidades Autónomas para que puedan implementar controles de renta a nivel autonómico</w:t>
      </w:r>
      <w:r w:rsidR="00EA31F1" w:rsidRPr="00F47564">
        <w:rPr>
          <w:rFonts w:eastAsia="Times New Roman"/>
          <w:lang w:eastAsia="es-ES_tradnl"/>
          <w14:ligatures w14:val="none"/>
        </w:rPr>
        <w:t xml:space="preserve">. Cataluña ha reintroducido estas medidas </w:t>
      </w:r>
      <w:r w:rsidRPr="00F47564">
        <w:rPr>
          <w:rFonts w:eastAsia="Times New Roman"/>
          <w:lang w:eastAsia="es-ES_tradnl"/>
          <w14:ligatures w14:val="none"/>
        </w:rPr>
        <w:t>desde marzo de 2024</w:t>
      </w:r>
      <w:r w:rsidR="001A605E" w:rsidRPr="00F47564">
        <w:rPr>
          <w:rStyle w:val="Refdenotaalpie"/>
          <w:rFonts w:eastAsia="Times New Roman"/>
          <w:lang w:eastAsia="es-ES_tradnl"/>
          <w14:ligatures w14:val="none"/>
        </w:rPr>
        <w:footnoteReference w:id="30"/>
      </w:r>
      <w:r w:rsidR="00FC6C59" w:rsidRPr="00F47564">
        <w:rPr>
          <w:rFonts w:eastAsia="Times New Roman"/>
          <w:lang w:eastAsia="es-ES_tradnl"/>
          <w14:ligatures w14:val="none"/>
        </w:rPr>
        <w:t>, aunque no han producido</w:t>
      </w:r>
      <w:r w:rsidR="00C34DEE" w:rsidRPr="00F47564">
        <w:rPr>
          <w:rFonts w:eastAsia="Times New Roman"/>
          <w:lang w:eastAsia="es-ES_tradnl"/>
          <w14:ligatures w14:val="none"/>
        </w:rPr>
        <w:t xml:space="preserve"> </w:t>
      </w:r>
      <w:r w:rsidRPr="00F47564">
        <w:rPr>
          <w:rFonts w:eastAsia="Times New Roman"/>
          <w:lang w:eastAsia="es-ES_tradnl"/>
          <w14:ligatures w14:val="none"/>
        </w:rPr>
        <w:t>los resultados deseados</w:t>
      </w:r>
      <w:r w:rsidR="00C65772" w:rsidRPr="00F47564">
        <w:rPr>
          <w:rStyle w:val="Refdenotaalpie"/>
          <w:rFonts w:eastAsia="Times New Roman"/>
          <w:lang w:eastAsia="es-ES_tradnl"/>
          <w14:ligatures w14:val="none"/>
        </w:rPr>
        <w:footnoteReference w:id="31"/>
      </w:r>
      <w:r w:rsidR="002A16EA" w:rsidRPr="00F47564">
        <w:rPr>
          <w:rFonts w:eastAsia="Times New Roman"/>
          <w:lang w:eastAsia="es-ES_tradnl"/>
          <w14:ligatures w14:val="none"/>
        </w:rPr>
        <w:t xml:space="preserve">, </w:t>
      </w:r>
      <w:r w:rsidRPr="00F47564">
        <w:rPr>
          <w:rFonts w:eastAsia="Times New Roman"/>
          <w:lang w:eastAsia="es-ES_tradnl"/>
          <w14:ligatures w14:val="none"/>
        </w:rPr>
        <w:t>lo que es congruente con la literatura internacional sobre el control de la renta</w:t>
      </w:r>
      <w:r w:rsidR="00E16D93" w:rsidRPr="00F47564">
        <w:rPr>
          <w:rFonts w:eastAsia="Times New Roman"/>
          <w:lang w:eastAsia="es-ES_tradnl"/>
          <w14:ligatures w14:val="none"/>
        </w:rPr>
        <w:t xml:space="preserve"> (</w:t>
      </w:r>
      <w:proofErr w:type="spellStart"/>
      <w:r w:rsidR="00E16D93" w:rsidRPr="00F47564">
        <w:t>Kholodilin</w:t>
      </w:r>
      <w:proofErr w:type="spellEnd"/>
      <w:r w:rsidR="00E16D93" w:rsidRPr="00F47564">
        <w:t>, 2024)</w:t>
      </w:r>
      <w:r w:rsidR="00EE4B61" w:rsidRPr="00F47564">
        <w:rPr>
          <w:rFonts w:eastAsia="Times New Roman"/>
          <w:lang w:eastAsia="es-ES_tradnl"/>
          <w14:ligatures w14:val="none"/>
        </w:rPr>
        <w:t xml:space="preserve">. </w:t>
      </w:r>
      <w:r w:rsidRPr="00F47564">
        <w:rPr>
          <w:rFonts w:eastAsia="Times New Roman"/>
          <w:lang w:eastAsia="es-ES_tradnl"/>
          <w14:ligatures w14:val="none"/>
        </w:rPr>
        <w:t>Más allá de la bajada de los precios del alquiler, los efectos colaterales son evidentes: menor oferta y mayores dificultades para los colectivos vulnerables. A nivel autonómico en general y en Cataluña en particular, también han proliferado las intromisiones a la propiedad privada por parte de los poderes públicos en forma de sanciones, recargos tributarios y expropiaciones de viviendas vacías</w:t>
      </w:r>
      <w:r w:rsidR="00172790" w:rsidRPr="00F47564">
        <w:rPr>
          <w:rStyle w:val="Refdenotaalpie"/>
          <w:rFonts w:eastAsia="Times New Roman"/>
          <w:lang w:eastAsia="es-ES_tradnl"/>
          <w14:ligatures w14:val="none"/>
        </w:rPr>
        <w:footnoteReference w:id="32"/>
      </w:r>
      <w:r w:rsidR="00D50FE5" w:rsidRPr="00F47564">
        <w:rPr>
          <w:rFonts w:eastAsia="Times New Roman"/>
          <w:lang w:eastAsia="es-ES_tradnl"/>
          <w14:ligatures w14:val="none"/>
        </w:rPr>
        <w:t xml:space="preserve">, </w:t>
      </w:r>
      <w:r w:rsidRPr="00F47564">
        <w:rPr>
          <w:rFonts w:eastAsia="Times New Roman"/>
          <w:lang w:eastAsia="es-ES_tradnl"/>
          <w14:ligatures w14:val="none"/>
        </w:rPr>
        <w:t>aunque no ha quedado demostrada su eficacia sobre la asequibilidad de la vivienda</w:t>
      </w:r>
      <w:r w:rsidR="003A2C89" w:rsidRPr="00F47564">
        <w:rPr>
          <w:rStyle w:val="Refdenotaalpie"/>
          <w:rFonts w:eastAsia="Times New Roman"/>
          <w:lang w:eastAsia="es-ES_tradnl"/>
          <w14:ligatures w14:val="none"/>
        </w:rPr>
        <w:footnoteReference w:id="33"/>
      </w:r>
      <w:r w:rsidR="00986E30" w:rsidRPr="00F47564">
        <w:rPr>
          <w:rFonts w:eastAsia="Times New Roman"/>
          <w:lang w:eastAsia="es-ES_tradnl"/>
          <w14:ligatures w14:val="none"/>
        </w:rPr>
        <w:t xml:space="preserve">, </w:t>
      </w:r>
      <w:r w:rsidR="00422217" w:rsidRPr="00F47564">
        <w:rPr>
          <w:rFonts w:eastAsia="Times New Roman"/>
          <w:lang w:eastAsia="es-ES_tradnl"/>
          <w14:ligatures w14:val="none"/>
        </w:rPr>
        <w:t>por lo que no han ayudado a incrementar el stock de vivienda social en España, que se estima está entre los más bajos de Europa</w:t>
      </w:r>
      <w:r w:rsidR="00425E2D" w:rsidRPr="00F47564">
        <w:rPr>
          <w:rFonts w:eastAsia="Times New Roman"/>
          <w:lang w:eastAsia="es-ES_tradnl"/>
          <w14:ligatures w14:val="none"/>
        </w:rPr>
        <w:t xml:space="preserve"> como se observa en la Figura 4</w:t>
      </w:r>
      <w:r w:rsidR="00422217" w:rsidRPr="00F47564">
        <w:rPr>
          <w:rFonts w:eastAsia="Times New Roman"/>
          <w:lang w:eastAsia="es-ES_tradnl"/>
          <w14:ligatures w14:val="none"/>
        </w:rPr>
        <w:t>.</w:t>
      </w:r>
    </w:p>
    <w:p w14:paraId="0E2C1DFE" w14:textId="77777777" w:rsidR="005A5238" w:rsidRPr="00F47564" w:rsidRDefault="005A5238" w:rsidP="005A5238">
      <w:pPr>
        <w:pStyle w:val="paraOJS"/>
        <w:rPr>
          <w:rFonts w:eastAsia="Times New Roman"/>
          <w:lang w:eastAsia="es-ES_tradnl"/>
          <w14:ligatures w14:val="none"/>
        </w:rPr>
      </w:pPr>
    </w:p>
    <w:p w14:paraId="25992F31" w14:textId="3399A2BA" w:rsidR="00425E2D" w:rsidRPr="00F47564" w:rsidRDefault="00425E2D" w:rsidP="00CA797F">
      <w:pPr>
        <w:widowControl w:val="0"/>
        <w:spacing w:line="360" w:lineRule="auto"/>
        <w:jc w:val="center"/>
        <w:rPr>
          <w:rFonts w:ascii="Times New Roman" w:eastAsia="Times New Roman" w:hAnsi="Times New Roman" w:cs="Times New Roman"/>
          <w:kern w:val="0"/>
          <w:lang w:eastAsia="es-ES_tradnl"/>
          <w14:ligatures w14:val="none"/>
        </w:rPr>
      </w:pPr>
      <w:r w:rsidRPr="005A5238">
        <w:rPr>
          <w:rFonts w:ascii="Times New Roman" w:hAnsi="Times New Roman" w:cs="Times New Roman"/>
          <w:b/>
          <w:bCs/>
          <w:kern w:val="0"/>
        </w:rPr>
        <w:t>Figura 4.</w:t>
      </w:r>
      <w:r w:rsidRPr="00F47564">
        <w:rPr>
          <w:rFonts w:ascii="Times New Roman" w:hAnsi="Times New Roman" w:cs="Times New Roman"/>
          <w:kern w:val="0"/>
        </w:rPr>
        <w:t xml:space="preserve"> Porcentaje de vivienda social</w:t>
      </w:r>
      <w:r w:rsidR="00D62302" w:rsidRPr="00F47564">
        <w:rPr>
          <w:rFonts w:ascii="Times New Roman" w:hAnsi="Times New Roman" w:cs="Times New Roman"/>
          <w:kern w:val="0"/>
        </w:rPr>
        <w:t xml:space="preserve"> en España</w:t>
      </w:r>
      <w:r w:rsidRPr="00F47564">
        <w:rPr>
          <w:rFonts w:ascii="Times New Roman" w:hAnsi="Times New Roman" w:cs="Times New Roman"/>
          <w:kern w:val="0"/>
        </w:rPr>
        <w:t xml:space="preserve"> sobre el total de viviendas</w:t>
      </w:r>
      <w:r w:rsidR="00007332" w:rsidRPr="00F47564">
        <w:rPr>
          <w:rFonts w:ascii="Times New Roman" w:hAnsi="Times New Roman" w:cs="Times New Roman"/>
          <w:kern w:val="0"/>
        </w:rPr>
        <w:t xml:space="preserve"> en la Unión Europea</w:t>
      </w:r>
    </w:p>
    <w:p w14:paraId="0102F930" w14:textId="0E947FC9" w:rsidR="00422217" w:rsidRPr="00F47564" w:rsidRDefault="007E15BE" w:rsidP="00CA797F">
      <w:pPr>
        <w:widowControl w:val="0"/>
        <w:spacing w:line="360" w:lineRule="auto"/>
        <w:ind w:firstLine="708"/>
        <w:jc w:val="center"/>
        <w:rPr>
          <w:rFonts w:ascii="Times New Roman" w:eastAsia="Times New Roman" w:hAnsi="Times New Roman" w:cs="Times New Roman"/>
          <w:kern w:val="0"/>
          <w:sz w:val="22"/>
          <w:szCs w:val="22"/>
          <w:lang w:eastAsia="es-ES_tradnl"/>
          <w14:ligatures w14:val="none"/>
        </w:rPr>
      </w:pPr>
      <w:r w:rsidRPr="00F47564">
        <w:rPr>
          <w:rFonts w:ascii="Times New Roman" w:eastAsia="Times New Roman" w:hAnsi="Times New Roman" w:cs="Times New Roman"/>
          <w:noProof/>
          <w:kern w:val="0"/>
          <w:sz w:val="22"/>
          <w:szCs w:val="22"/>
          <w:lang w:eastAsia="es-ES_tradnl"/>
          <w14:ligatures w14:val="none"/>
        </w:rPr>
        <w:lastRenderedPageBreak/>
        <w:drawing>
          <wp:anchor distT="0" distB="0" distL="114300" distR="114300" simplePos="0" relativeHeight="251661312" behindDoc="0" locked="0" layoutInCell="1" allowOverlap="1" wp14:anchorId="71F7042E" wp14:editId="0A99EE6F">
            <wp:simplePos x="0" y="0"/>
            <wp:positionH relativeFrom="column">
              <wp:posOffset>1080135</wp:posOffset>
            </wp:positionH>
            <wp:positionV relativeFrom="paragraph">
              <wp:posOffset>4445</wp:posOffset>
            </wp:positionV>
            <wp:extent cx="3685540" cy="2752090"/>
            <wp:effectExtent l="0" t="0" r="0" b="0"/>
            <wp:wrapTopAndBottom/>
            <wp:docPr id="691443624"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43624" name="Imagen 1" descr="Gráfico, Gráfico de barras&#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5540" cy="2752090"/>
                    </a:xfrm>
                    <a:prstGeom prst="rect">
                      <a:avLst/>
                    </a:prstGeom>
                  </pic:spPr>
                </pic:pic>
              </a:graphicData>
            </a:graphic>
            <wp14:sizeRelH relativeFrom="page">
              <wp14:pctWidth>0</wp14:pctWidth>
            </wp14:sizeRelH>
            <wp14:sizeRelV relativeFrom="page">
              <wp14:pctHeight>0</wp14:pctHeight>
            </wp14:sizeRelV>
          </wp:anchor>
        </w:drawing>
      </w:r>
    </w:p>
    <w:p w14:paraId="6DD8CC09" w14:textId="29219E46" w:rsidR="000E621B" w:rsidRDefault="00425E2D" w:rsidP="00CA797F">
      <w:pPr>
        <w:widowControl w:val="0"/>
        <w:spacing w:line="360" w:lineRule="auto"/>
        <w:jc w:val="center"/>
        <w:rPr>
          <w:rFonts w:ascii="Times New Roman" w:hAnsi="Times New Roman" w:cs="Times New Roman"/>
        </w:rPr>
      </w:pPr>
      <w:r w:rsidRPr="00F47564">
        <w:rPr>
          <w:rFonts w:ascii="Times New Roman" w:hAnsi="Times New Roman" w:cs="Times New Roman"/>
          <w:kern w:val="0"/>
        </w:rPr>
        <w:t xml:space="preserve">Fuente: </w:t>
      </w:r>
      <w:r w:rsidRPr="00F47564">
        <w:rPr>
          <w:rFonts w:ascii="Times New Roman" w:hAnsi="Times New Roman" w:cs="Times New Roman"/>
        </w:rPr>
        <w:t>Observatorio de Vivienda y Suelo, 2020</w:t>
      </w:r>
      <w:r w:rsidRPr="00F47564">
        <w:rPr>
          <w:rFonts w:ascii="Times New Roman" w:hAnsi="Times New Roman" w:cs="Times New Roman"/>
          <w:i/>
          <w:iCs/>
          <w:color w:val="404040"/>
          <w:lang w:val="es-ES_tradnl"/>
        </w:rPr>
        <w:t xml:space="preserve">, </w:t>
      </w:r>
      <w:r w:rsidRPr="00F47564">
        <w:rPr>
          <w:rFonts w:ascii="Times New Roman" w:hAnsi="Times New Roman" w:cs="Times New Roman"/>
        </w:rPr>
        <w:t>p. 33</w:t>
      </w:r>
    </w:p>
    <w:p w14:paraId="57963991" w14:textId="77777777" w:rsidR="005A5238" w:rsidRDefault="005A5238" w:rsidP="00CA797F">
      <w:pPr>
        <w:widowControl w:val="0"/>
        <w:spacing w:line="360" w:lineRule="auto"/>
        <w:jc w:val="center"/>
        <w:rPr>
          <w:rFonts w:ascii="Times New Roman" w:hAnsi="Times New Roman" w:cs="Times New Roman"/>
        </w:rPr>
      </w:pPr>
    </w:p>
    <w:p w14:paraId="505094DA" w14:textId="77777777" w:rsidR="005A5238" w:rsidRDefault="005A5238" w:rsidP="00CA797F">
      <w:pPr>
        <w:widowControl w:val="0"/>
        <w:spacing w:line="360" w:lineRule="auto"/>
        <w:jc w:val="center"/>
        <w:rPr>
          <w:rFonts w:ascii="Times New Roman" w:hAnsi="Times New Roman" w:cs="Times New Roman"/>
        </w:rPr>
      </w:pPr>
    </w:p>
    <w:p w14:paraId="3689FCAC" w14:textId="77777777" w:rsidR="005A5238" w:rsidRDefault="005A5238" w:rsidP="00CA797F">
      <w:pPr>
        <w:widowControl w:val="0"/>
        <w:spacing w:line="360" w:lineRule="auto"/>
        <w:jc w:val="center"/>
        <w:rPr>
          <w:rFonts w:ascii="Times New Roman" w:hAnsi="Times New Roman" w:cs="Times New Roman"/>
        </w:rPr>
      </w:pPr>
    </w:p>
    <w:p w14:paraId="137B6132" w14:textId="77777777" w:rsidR="00A01F16" w:rsidRDefault="00A01F16" w:rsidP="00CA797F">
      <w:pPr>
        <w:widowControl w:val="0"/>
        <w:spacing w:line="360" w:lineRule="auto"/>
        <w:jc w:val="center"/>
        <w:rPr>
          <w:rFonts w:ascii="Times New Roman" w:hAnsi="Times New Roman" w:cs="Times New Roman"/>
        </w:rPr>
      </w:pPr>
    </w:p>
    <w:p w14:paraId="35035B4F" w14:textId="77777777" w:rsidR="00A01F16" w:rsidRDefault="00A01F16" w:rsidP="00CA797F">
      <w:pPr>
        <w:widowControl w:val="0"/>
        <w:spacing w:line="360" w:lineRule="auto"/>
        <w:jc w:val="center"/>
        <w:rPr>
          <w:rFonts w:ascii="Times New Roman" w:hAnsi="Times New Roman" w:cs="Times New Roman"/>
        </w:rPr>
      </w:pPr>
    </w:p>
    <w:p w14:paraId="18EBC6C3" w14:textId="77777777" w:rsidR="00A01F16" w:rsidRDefault="00A01F16" w:rsidP="00CA797F">
      <w:pPr>
        <w:widowControl w:val="0"/>
        <w:spacing w:line="360" w:lineRule="auto"/>
        <w:jc w:val="center"/>
        <w:rPr>
          <w:rFonts w:ascii="Times New Roman" w:hAnsi="Times New Roman" w:cs="Times New Roman"/>
        </w:rPr>
      </w:pPr>
    </w:p>
    <w:p w14:paraId="692A5EFC" w14:textId="77777777" w:rsidR="005A5238" w:rsidRDefault="005A5238" w:rsidP="00CA797F">
      <w:pPr>
        <w:widowControl w:val="0"/>
        <w:spacing w:line="360" w:lineRule="auto"/>
        <w:jc w:val="center"/>
        <w:rPr>
          <w:rFonts w:ascii="Times New Roman" w:hAnsi="Times New Roman" w:cs="Times New Roman"/>
          <w:kern w:val="0"/>
        </w:rPr>
      </w:pPr>
    </w:p>
    <w:p w14:paraId="5E783FAA" w14:textId="77777777" w:rsidR="00A01F16" w:rsidRDefault="00A01F16" w:rsidP="00CA797F">
      <w:pPr>
        <w:widowControl w:val="0"/>
        <w:spacing w:line="360" w:lineRule="auto"/>
        <w:jc w:val="center"/>
        <w:rPr>
          <w:rFonts w:ascii="Times New Roman" w:hAnsi="Times New Roman" w:cs="Times New Roman"/>
          <w:kern w:val="0"/>
        </w:rPr>
      </w:pPr>
    </w:p>
    <w:p w14:paraId="1C42DDC6" w14:textId="77777777" w:rsidR="00A01F16" w:rsidRPr="00F47564" w:rsidRDefault="00A01F16" w:rsidP="00CA797F">
      <w:pPr>
        <w:widowControl w:val="0"/>
        <w:spacing w:line="360" w:lineRule="auto"/>
        <w:jc w:val="center"/>
        <w:rPr>
          <w:rFonts w:ascii="Times New Roman" w:hAnsi="Times New Roman" w:cs="Times New Roman"/>
          <w:kern w:val="0"/>
        </w:rPr>
      </w:pPr>
    </w:p>
    <w:p w14:paraId="41A430C3" w14:textId="24B07CFF" w:rsidR="003A7E20" w:rsidRPr="00F47564" w:rsidRDefault="00422217" w:rsidP="005A5238">
      <w:pPr>
        <w:pStyle w:val="paraOJS"/>
        <w:rPr>
          <w:sz w:val="22"/>
          <w:szCs w:val="22"/>
          <w:lang w:eastAsia="es-ES_tradnl"/>
        </w:rPr>
      </w:pPr>
      <w:r w:rsidRPr="00F47564">
        <w:rPr>
          <w:lang w:eastAsia="es-ES_tradnl"/>
        </w:rPr>
        <w:t xml:space="preserve">Además, </w:t>
      </w:r>
      <w:r w:rsidR="004A6AB6" w:rsidRPr="00F47564">
        <w:rPr>
          <w:lang w:eastAsia="es-ES_tradnl"/>
        </w:rPr>
        <w:t>se ha</w:t>
      </w:r>
      <w:r w:rsidR="0041030E" w:rsidRPr="00F47564">
        <w:rPr>
          <w:lang w:eastAsia="es-ES_tradnl"/>
        </w:rPr>
        <w:t xml:space="preserve">n </w:t>
      </w:r>
      <w:r w:rsidR="00C23893" w:rsidRPr="00F47564">
        <w:rPr>
          <w:lang w:eastAsia="es-ES_tradnl"/>
        </w:rPr>
        <w:t>adoptado</w:t>
      </w:r>
      <w:r w:rsidR="0041030E" w:rsidRPr="00F47564">
        <w:rPr>
          <w:lang w:eastAsia="es-ES_tradnl"/>
        </w:rPr>
        <w:t xml:space="preserve"> </w:t>
      </w:r>
      <w:r w:rsidR="00C23893" w:rsidRPr="00F47564">
        <w:rPr>
          <w:lang w:eastAsia="es-ES_tradnl"/>
        </w:rPr>
        <w:t xml:space="preserve">medidas </w:t>
      </w:r>
      <w:r w:rsidR="004A6AB6" w:rsidRPr="00F47564">
        <w:rPr>
          <w:lang w:eastAsia="es-ES_tradnl"/>
        </w:rPr>
        <w:t xml:space="preserve">contra las viviendas de uso </w:t>
      </w:r>
      <w:r w:rsidR="0041030E" w:rsidRPr="00F47564">
        <w:rPr>
          <w:lang w:eastAsia="es-ES_tradnl"/>
        </w:rPr>
        <w:t xml:space="preserve">turístico </w:t>
      </w:r>
      <w:r w:rsidR="004A6AB6" w:rsidRPr="00F47564">
        <w:rPr>
          <w:lang w:eastAsia="es-ES_tradnl"/>
        </w:rPr>
        <w:t>por su supuesto impacto en el mercado privado de alquiler que, a pesar de poder existir en algunas zonas de las ciudades, su impacto sería leve y lejos de justificar una prohibición de nuevas licencias como tenido lugar en Cataluña a raíz del Decreto Ley 3/2023</w:t>
      </w:r>
      <w:r w:rsidR="00044558" w:rsidRPr="00F47564">
        <w:rPr>
          <w:rStyle w:val="Refdenotaalpie"/>
          <w:rFonts w:eastAsia="Times New Roman"/>
          <w:lang w:eastAsia="es-ES_tradnl"/>
          <w14:ligatures w14:val="none"/>
        </w:rPr>
        <w:footnoteReference w:id="34"/>
      </w:r>
      <w:r w:rsidR="001C5541" w:rsidRPr="00F47564">
        <w:rPr>
          <w:lang w:eastAsia="es-ES_tradnl"/>
        </w:rPr>
        <w:t>.</w:t>
      </w:r>
      <w:r w:rsidR="0080110E" w:rsidRPr="00F47564">
        <w:rPr>
          <w:lang w:eastAsia="es-ES_tradnl"/>
        </w:rPr>
        <w:t xml:space="preserve"> A nivel estatal se han implementado medidas de control de estos alquileres exigiendo un </w:t>
      </w:r>
      <w:r w:rsidR="0080110E" w:rsidRPr="00F47564">
        <w:rPr>
          <w:lang w:eastAsia="es-ES_tradnl"/>
        </w:rPr>
        <w:lastRenderedPageBreak/>
        <w:t>código para su publicitación en plataforma en línea</w:t>
      </w:r>
      <w:r w:rsidR="0080110E" w:rsidRPr="00F47564">
        <w:rPr>
          <w:rStyle w:val="Refdenotaalpie"/>
          <w:rFonts w:eastAsia="Times New Roman"/>
          <w:lang w:eastAsia="es-ES_tradnl"/>
          <w14:ligatures w14:val="none"/>
        </w:rPr>
        <w:footnoteReference w:id="35"/>
      </w:r>
      <w:r w:rsidR="0080110E" w:rsidRPr="00F47564">
        <w:rPr>
          <w:lang w:eastAsia="es-ES_tradnl"/>
        </w:rPr>
        <w:t>.</w:t>
      </w:r>
      <w:r w:rsidR="00D62302" w:rsidRPr="00F47564">
        <w:rPr>
          <w:lang w:eastAsia="es-ES_tradnl"/>
        </w:rPr>
        <w:t xml:space="preserve"> </w:t>
      </w:r>
      <w:r w:rsidR="00BC4282" w:rsidRPr="00F47564">
        <w:rPr>
          <w:lang w:eastAsia="es-ES_tradnl"/>
        </w:rPr>
        <w:t xml:space="preserve">Otra problemática </w:t>
      </w:r>
      <w:r w:rsidR="007E7F82" w:rsidRPr="00F47564">
        <w:rPr>
          <w:lang w:eastAsia="es-ES_tradnl"/>
        </w:rPr>
        <w:t>es</w:t>
      </w:r>
      <w:r w:rsidR="004E21B0" w:rsidRPr="00F47564">
        <w:t xml:space="preserve"> la accesibilidad </w:t>
      </w:r>
      <w:r w:rsidR="004C4A3D" w:rsidRPr="00F47564">
        <w:t>de las vivie</w:t>
      </w:r>
      <w:r w:rsidR="000D7B82" w:rsidRPr="00F47564">
        <w:t>ndas</w:t>
      </w:r>
      <w:r w:rsidR="00507F08" w:rsidRPr="00F47564">
        <w:t xml:space="preserve">. En este sentido, el Informe </w:t>
      </w:r>
      <w:r w:rsidR="00507F08" w:rsidRPr="00F47564">
        <w:rPr>
          <w:bCs/>
        </w:rPr>
        <w:t>“Accesibilidad de las viviendas en España” (febrero 2018)</w:t>
      </w:r>
      <w:r w:rsidR="00507F08" w:rsidRPr="00F47564">
        <w:rPr>
          <w:bCs/>
          <w:vertAlign w:val="superscript"/>
        </w:rPr>
        <w:footnoteReference w:id="36"/>
      </w:r>
      <w:r w:rsidR="00507F08" w:rsidRPr="00F47564">
        <w:rPr>
          <w:bCs/>
        </w:rPr>
        <w:t xml:space="preserve"> concluía que únicamente el 0,6% de las personas encuestadas declaraban que su propiedad era universalmente accesible siguiendo un </w:t>
      </w:r>
      <w:proofErr w:type="spellStart"/>
      <w:r w:rsidR="00507F08" w:rsidRPr="00F47564">
        <w:rPr>
          <w:bCs/>
          <w:i/>
        </w:rPr>
        <w:t>iter</w:t>
      </w:r>
      <w:proofErr w:type="spellEnd"/>
      <w:r w:rsidR="00507F08" w:rsidRPr="00F47564">
        <w:rPr>
          <w:bCs/>
          <w:i/>
        </w:rPr>
        <w:t xml:space="preserve"> </w:t>
      </w:r>
      <w:r w:rsidR="00507F08" w:rsidRPr="00F47564">
        <w:rPr>
          <w:bCs/>
        </w:rPr>
        <w:t>geográfico</w:t>
      </w:r>
      <w:r w:rsidR="00507F08" w:rsidRPr="00F47564">
        <w:t xml:space="preserve"> “desde la vía pública hasta la vivienda”. </w:t>
      </w:r>
    </w:p>
    <w:p w14:paraId="47A373D5" w14:textId="77777777" w:rsidR="003A7E20" w:rsidRPr="00F47564" w:rsidRDefault="003A7E20" w:rsidP="00232B41">
      <w:pPr>
        <w:widowControl w:val="0"/>
        <w:jc w:val="both"/>
        <w:rPr>
          <w:rFonts w:ascii="Times New Roman" w:eastAsia="Times New Roman" w:hAnsi="Times New Roman" w:cs="Times New Roman"/>
          <w:kern w:val="0"/>
          <w:lang w:eastAsia="es-ES_tradnl"/>
          <w14:ligatures w14:val="none"/>
        </w:rPr>
      </w:pPr>
    </w:p>
    <w:p w14:paraId="0D990B6E" w14:textId="491FE511" w:rsidR="000B0DEF" w:rsidRPr="00A01F16" w:rsidRDefault="00FA5AA6" w:rsidP="00CA797F">
      <w:pPr>
        <w:widowControl w:val="0"/>
        <w:jc w:val="center"/>
        <w:rPr>
          <w:rFonts w:ascii="Times New Roman" w:eastAsia="Times New Roman" w:hAnsi="Times New Roman" w:cs="Times New Roman"/>
          <w:b/>
          <w:bCs/>
          <w:kern w:val="0"/>
          <w:sz w:val="32"/>
          <w:szCs w:val="32"/>
          <w:lang w:eastAsia="es-ES_tradnl"/>
          <w14:ligatures w14:val="none"/>
        </w:rPr>
      </w:pPr>
      <w:r w:rsidRPr="00A01F16">
        <w:rPr>
          <w:rFonts w:ascii="Times New Roman" w:eastAsia="Times New Roman" w:hAnsi="Times New Roman" w:cs="Times New Roman"/>
          <w:b/>
          <w:bCs/>
          <w:kern w:val="0"/>
          <w:sz w:val="32"/>
          <w:szCs w:val="32"/>
          <w:lang w:eastAsia="es-ES_tradnl"/>
          <w14:ligatures w14:val="none"/>
        </w:rPr>
        <w:t>Discusión</w:t>
      </w:r>
    </w:p>
    <w:p w14:paraId="1ED3186B" w14:textId="77777777" w:rsidR="001014AA" w:rsidRPr="00F47564" w:rsidRDefault="001014AA" w:rsidP="00232B41">
      <w:pPr>
        <w:widowControl w:val="0"/>
        <w:jc w:val="both"/>
        <w:rPr>
          <w:rFonts w:ascii="Times New Roman" w:eastAsia="Times New Roman" w:hAnsi="Times New Roman" w:cs="Times New Roman"/>
          <w:kern w:val="0"/>
          <w:lang w:eastAsia="es-ES_tradnl"/>
          <w14:ligatures w14:val="none"/>
        </w:rPr>
      </w:pPr>
    </w:p>
    <w:p w14:paraId="32CF7321" w14:textId="2E9284E6" w:rsidR="0080110E" w:rsidRPr="00F47564" w:rsidRDefault="004A6AB6" w:rsidP="00A01F16">
      <w:pPr>
        <w:pStyle w:val="paraOJS"/>
        <w:rPr>
          <w:lang w:eastAsia="es-ES_tradnl"/>
        </w:rPr>
      </w:pPr>
      <w:r w:rsidRPr="00F47564">
        <w:rPr>
          <w:lang w:eastAsia="es-ES_tradnl"/>
        </w:rPr>
        <w:t xml:space="preserve">En este contexto, no se han desarrollado por parte del legislador </w:t>
      </w:r>
      <w:r w:rsidR="000B0DEF" w:rsidRPr="00F47564">
        <w:rPr>
          <w:lang w:eastAsia="es-ES_tradnl"/>
        </w:rPr>
        <w:t>soluciones estructurales al problema de la vivienda, como la diversificación de las tenencias de vivienda o la cohesión territorial</w:t>
      </w:r>
      <w:r w:rsidRPr="00F47564">
        <w:rPr>
          <w:lang w:eastAsia="es-ES_tradnl"/>
        </w:rPr>
        <w:t xml:space="preserve">. </w:t>
      </w:r>
    </w:p>
    <w:p w14:paraId="321CA67D" w14:textId="77252CAD" w:rsidR="004A6AB6" w:rsidRPr="00F47564" w:rsidRDefault="00EB56F4" w:rsidP="00A01F16">
      <w:pPr>
        <w:pStyle w:val="paraOJS"/>
        <w:rPr>
          <w:b/>
          <w:bCs/>
        </w:rPr>
      </w:pPr>
      <w:r w:rsidRPr="00F47564">
        <w:rPr>
          <w:lang w:eastAsia="es-ES_tradnl"/>
        </w:rPr>
        <w:t>Dado que</w:t>
      </w:r>
      <w:r w:rsidR="000B0DEF" w:rsidRPr="00F47564">
        <w:rPr>
          <w:lang w:eastAsia="es-ES_tradnl"/>
        </w:rPr>
        <w:t xml:space="preserve"> no existen soluciones fáciles a problemas complejos, estas</w:t>
      </w:r>
      <w:r w:rsidR="004A6AB6" w:rsidRPr="00F47564">
        <w:rPr>
          <w:lang w:eastAsia="es-ES_tradnl"/>
        </w:rPr>
        <w:t xml:space="preserve"> medidas </w:t>
      </w:r>
      <w:r w:rsidR="000B0DEF" w:rsidRPr="00F47564">
        <w:rPr>
          <w:lang w:eastAsia="es-ES_tradnl"/>
        </w:rPr>
        <w:t>estructurales deben ir acompañadas de otras</w:t>
      </w:r>
      <w:r w:rsidR="00974EEA" w:rsidRPr="00F47564">
        <w:rPr>
          <w:lang w:eastAsia="es-ES_tradnl"/>
        </w:rPr>
        <w:t xml:space="preserve"> complementarias</w:t>
      </w:r>
      <w:r w:rsidR="000B0DEF" w:rsidRPr="00F47564">
        <w:rPr>
          <w:lang w:eastAsia="es-ES_tradnl"/>
        </w:rPr>
        <w:t xml:space="preserve">, </w:t>
      </w:r>
      <w:r w:rsidR="004A6AB6" w:rsidRPr="00F47564">
        <w:rPr>
          <w:lang w:eastAsia="es-ES_tradnl"/>
        </w:rPr>
        <w:t>como un pacto de Estado en materia de vivienda</w:t>
      </w:r>
      <w:r w:rsidR="000B0DEF" w:rsidRPr="00F47564">
        <w:rPr>
          <w:lang w:eastAsia="es-ES_tradnl"/>
        </w:rPr>
        <w:t xml:space="preserve"> o un aumento del presupuesto dedicado a vivienda</w:t>
      </w:r>
      <w:r w:rsidR="004A6AB6" w:rsidRPr="00F47564">
        <w:rPr>
          <w:rStyle w:val="Refdenotaalpie"/>
        </w:rPr>
        <w:footnoteReference w:id="37"/>
      </w:r>
      <w:r w:rsidR="00DF1EDE" w:rsidRPr="00F47564">
        <w:rPr>
          <w:lang w:eastAsia="es-ES_tradnl"/>
        </w:rPr>
        <w:t xml:space="preserve">, así como el fomento de </w:t>
      </w:r>
      <w:r w:rsidR="006E4827" w:rsidRPr="00F47564">
        <w:rPr>
          <w:lang w:val="es-ES_tradnl"/>
        </w:rPr>
        <w:t xml:space="preserve">asociaciones </w:t>
      </w:r>
      <w:r w:rsidR="00DF1EDE" w:rsidRPr="00F47564">
        <w:rPr>
          <w:lang w:val="es-ES_tradnl"/>
        </w:rPr>
        <w:t>público-privad</w:t>
      </w:r>
      <w:r w:rsidR="006E4827" w:rsidRPr="00F47564">
        <w:rPr>
          <w:lang w:val="es-ES_tradnl"/>
        </w:rPr>
        <w:t>a</w:t>
      </w:r>
      <w:r w:rsidR="00DF1EDE" w:rsidRPr="00F47564">
        <w:rPr>
          <w:lang w:val="es-ES_tradnl"/>
        </w:rPr>
        <w:t xml:space="preserve">s similares a las </w:t>
      </w:r>
      <w:proofErr w:type="spellStart"/>
      <w:r w:rsidR="00DF1EDE" w:rsidRPr="00F47564">
        <w:rPr>
          <w:i/>
          <w:iCs/>
          <w:lang w:val="es-ES_tradnl"/>
        </w:rPr>
        <w:t>housing</w:t>
      </w:r>
      <w:proofErr w:type="spellEnd"/>
      <w:r w:rsidR="00DF1EDE" w:rsidRPr="00F47564">
        <w:rPr>
          <w:i/>
          <w:iCs/>
          <w:lang w:val="es-ES_tradnl"/>
        </w:rPr>
        <w:t xml:space="preserve"> </w:t>
      </w:r>
      <w:proofErr w:type="spellStart"/>
      <w:r w:rsidR="00DF1EDE" w:rsidRPr="00F47564">
        <w:rPr>
          <w:i/>
          <w:iCs/>
          <w:lang w:val="es-ES_tradnl"/>
        </w:rPr>
        <w:t>associations</w:t>
      </w:r>
      <w:proofErr w:type="spellEnd"/>
      <w:r w:rsidR="00DF1EDE" w:rsidRPr="00F47564">
        <w:rPr>
          <w:lang w:val="es-ES_tradnl"/>
        </w:rPr>
        <w:t xml:space="preserve"> </w:t>
      </w:r>
      <w:r w:rsidR="003629D6" w:rsidRPr="00F47564">
        <w:rPr>
          <w:lang w:val="es-ES_tradnl"/>
        </w:rPr>
        <w:t xml:space="preserve">inglesas </w:t>
      </w:r>
      <w:r w:rsidR="0080110E" w:rsidRPr="00F47564">
        <w:rPr>
          <w:lang w:val="es-ES_tradnl"/>
        </w:rPr>
        <w:t xml:space="preserve">(lo </w:t>
      </w:r>
      <w:r w:rsidR="00DF1EDE" w:rsidRPr="00F47564">
        <w:rPr>
          <w:lang w:val="es-ES_tradnl"/>
        </w:rPr>
        <w:t xml:space="preserve">que ayudaría a mejorar la gestión de la vivienda social, que no cuenta con un marco legal </w:t>
      </w:r>
      <w:r w:rsidR="0080110E" w:rsidRPr="00F47564">
        <w:rPr>
          <w:lang w:val="es-ES_tradnl"/>
        </w:rPr>
        <w:t xml:space="preserve">en España </w:t>
      </w:r>
      <w:r w:rsidR="00DF1EDE" w:rsidRPr="00F47564">
        <w:rPr>
          <w:lang w:val="es-ES_tradnl"/>
        </w:rPr>
        <w:t>que sirva de guía para los municipios y las entidades del tercer sector</w:t>
      </w:r>
      <w:r w:rsidR="00DF1EDE" w:rsidRPr="00F47564">
        <w:rPr>
          <w:rStyle w:val="Refdenotaalpie"/>
          <w:lang w:val="es-ES_tradnl"/>
        </w:rPr>
        <w:footnoteReference w:id="38"/>
      </w:r>
      <w:r w:rsidR="0080110E" w:rsidRPr="00F47564">
        <w:rPr>
          <w:lang w:val="es-ES_tradnl"/>
        </w:rPr>
        <w:t>)</w:t>
      </w:r>
      <w:r w:rsidR="00DF1EDE" w:rsidRPr="00F47564">
        <w:rPr>
          <w:lang w:val="es-ES_tradnl"/>
        </w:rPr>
        <w:t>, el impulso de los municipios como entes capaces de a</w:t>
      </w:r>
      <w:r w:rsidR="00DF1EDE" w:rsidRPr="00F47564">
        <w:rPr>
          <w:lang w:eastAsia="es-ES_tradnl"/>
        </w:rPr>
        <w:t xml:space="preserve"> </w:t>
      </w:r>
      <w:r w:rsidR="00DF1EDE" w:rsidRPr="00F47564">
        <w:t xml:space="preserve">fomentar la movilización y rehabilitación de la vivienda </w:t>
      </w:r>
      <w:proofErr w:type="spellStart"/>
      <w:r w:rsidR="00DF1EDE" w:rsidRPr="00F47564">
        <w:t>vacía</w:t>
      </w:r>
      <w:proofErr w:type="spellEnd"/>
      <w:r w:rsidR="00B80D5E" w:rsidRPr="00F47564">
        <w:t xml:space="preserve"> (según </w:t>
      </w:r>
      <w:r w:rsidR="0080110E" w:rsidRPr="00F47564">
        <w:t xml:space="preserve">el </w:t>
      </w:r>
      <w:r w:rsidR="00B80D5E" w:rsidRPr="00F47564">
        <w:t>INE</w:t>
      </w:r>
      <w:r w:rsidR="0080110E" w:rsidRPr="00F47564">
        <w:t>,</w:t>
      </w:r>
      <w:r w:rsidR="00B80D5E" w:rsidRPr="00F47564">
        <w:t xml:space="preserve"> a partir del consumo eléctrico de viviendas situadas en municipios con más de mil habitantes, </w:t>
      </w:r>
      <w:r w:rsidR="0080110E" w:rsidRPr="00F47564">
        <w:t xml:space="preserve">éstas </w:t>
      </w:r>
      <w:r w:rsidR="00B80D5E" w:rsidRPr="00F47564">
        <w:t>representaban en Cataluña el 10,7% del total en 2021; con todo, no se sabe el número exacto de viviendas vacías pues quedan fuera de este estudio los municipios de menos de 1000 habitantes, de modo que son necesarios estudios más precisos a nivel local)</w:t>
      </w:r>
      <w:r w:rsidR="001014AA" w:rsidRPr="00F47564">
        <w:t xml:space="preserve"> </w:t>
      </w:r>
      <w:r w:rsidR="001014AA" w:rsidRPr="00F47564">
        <w:rPr>
          <w:lang w:val="es-ES_tradnl"/>
        </w:rPr>
        <w:t>potencia</w:t>
      </w:r>
      <w:r w:rsidR="00B80D5E" w:rsidRPr="00F47564">
        <w:rPr>
          <w:lang w:val="es-ES_tradnl"/>
        </w:rPr>
        <w:t>ndo</w:t>
      </w:r>
      <w:r w:rsidR="001014AA" w:rsidRPr="00F47564">
        <w:rPr>
          <w:lang w:val="es-ES_tradnl"/>
        </w:rPr>
        <w:t xml:space="preserve"> experiencias de </w:t>
      </w:r>
      <w:proofErr w:type="spellStart"/>
      <w:r w:rsidR="001014AA" w:rsidRPr="00F47564">
        <w:rPr>
          <w:lang w:val="es-ES_tradnl"/>
        </w:rPr>
        <w:t>masovería</w:t>
      </w:r>
      <w:proofErr w:type="spellEnd"/>
      <w:r w:rsidR="001014AA" w:rsidRPr="00F47564">
        <w:rPr>
          <w:lang w:val="es-ES_tradnl"/>
        </w:rPr>
        <w:t xml:space="preserve"> urbana</w:t>
      </w:r>
      <w:r w:rsidR="00B80D5E" w:rsidRPr="00F47564">
        <w:rPr>
          <w:lang w:val="es-ES_tradnl"/>
        </w:rPr>
        <w:t>,</w:t>
      </w:r>
      <w:r w:rsidR="00DF1EDE" w:rsidRPr="00F47564">
        <w:rPr>
          <w:b/>
          <w:bCs/>
        </w:rPr>
        <w:t xml:space="preserve"> </w:t>
      </w:r>
      <w:r w:rsidR="00DF1EDE" w:rsidRPr="00F47564">
        <w:t>abordar la problemática de la accesibilidad</w:t>
      </w:r>
      <w:r w:rsidR="001014AA" w:rsidRPr="00F47564">
        <w:t xml:space="preserve">, </w:t>
      </w:r>
      <w:r w:rsidR="00277B45" w:rsidRPr="00F47564">
        <w:t>i</w:t>
      </w:r>
      <w:r w:rsidR="001014AA" w:rsidRPr="00F47564">
        <w:t xml:space="preserve">ncrementar la disponibilidad de vivienda </w:t>
      </w:r>
      <w:proofErr w:type="spellStart"/>
      <w:r w:rsidR="001014AA" w:rsidRPr="00F47564">
        <w:t>pública</w:t>
      </w:r>
      <w:proofErr w:type="spellEnd"/>
      <w:r w:rsidR="001014AA" w:rsidRPr="00F47564">
        <w:t xml:space="preserve"> </w:t>
      </w:r>
      <w:r w:rsidR="00277B45" w:rsidRPr="00F47564">
        <w:t xml:space="preserve">vía construcción de vivienda nueva (por ejemplo, la construcción de viviendas en Cataluña entre 2001 y 2021 sólo representa el 17,2% de las viviendas totales, con sólo un 2,1% de las viviendas construidas desde 2010) o </w:t>
      </w:r>
      <w:r w:rsidR="00E349A1" w:rsidRPr="00F47564">
        <w:t xml:space="preserve">el </w:t>
      </w:r>
      <w:r w:rsidR="00277B45" w:rsidRPr="00F47564">
        <w:t>fomento de su cesión a bolsas de mediación</w:t>
      </w:r>
      <w:r w:rsidR="0080110E" w:rsidRPr="00F47564">
        <w:t>,</w:t>
      </w:r>
      <w:r w:rsidR="00277B45" w:rsidRPr="00F47564">
        <w:t xml:space="preserve"> </w:t>
      </w:r>
      <w:r w:rsidR="001014AA" w:rsidRPr="00F47564">
        <w:t xml:space="preserve">o la </w:t>
      </w:r>
      <w:proofErr w:type="spellStart"/>
      <w:r w:rsidR="00277B45" w:rsidRPr="00F47564">
        <w:t>r</w:t>
      </w:r>
      <w:r w:rsidR="001014AA" w:rsidRPr="00F47564">
        <w:t>egeneración</w:t>
      </w:r>
      <w:proofErr w:type="spellEnd"/>
      <w:r w:rsidR="001014AA" w:rsidRPr="00F47564">
        <w:t xml:space="preserve"> urbana</w:t>
      </w:r>
      <w:r w:rsidR="00277B45" w:rsidRPr="00F47564">
        <w:t xml:space="preserve"> de</w:t>
      </w:r>
      <w:r w:rsidR="001014AA" w:rsidRPr="00F47564">
        <w:t xml:space="preserve"> barrios desfavorecidos y vulnerables</w:t>
      </w:r>
      <w:r w:rsidR="00277B45" w:rsidRPr="00F47564">
        <w:rPr>
          <w:b/>
          <w:bCs/>
        </w:rPr>
        <w:t>.</w:t>
      </w:r>
    </w:p>
    <w:p w14:paraId="6E12920C" w14:textId="77777777" w:rsidR="00431B21" w:rsidRPr="00F47564" w:rsidRDefault="00431B21" w:rsidP="00232B41">
      <w:pPr>
        <w:widowControl w:val="0"/>
        <w:ind w:firstLine="708"/>
        <w:jc w:val="both"/>
        <w:rPr>
          <w:rFonts w:ascii="Times New Roman" w:eastAsia="Times New Roman" w:hAnsi="Times New Roman" w:cs="Times New Roman"/>
          <w:kern w:val="0"/>
          <w:sz w:val="22"/>
          <w:szCs w:val="22"/>
          <w:lang w:eastAsia="es-ES_tradnl"/>
          <w14:ligatures w14:val="none"/>
        </w:rPr>
      </w:pPr>
    </w:p>
    <w:p w14:paraId="5DFF816D" w14:textId="67A39A9C" w:rsidR="006A6BA9" w:rsidRPr="005A5238" w:rsidRDefault="00431B21" w:rsidP="005A5238">
      <w:pPr>
        <w:widowControl w:val="0"/>
        <w:jc w:val="center"/>
        <w:rPr>
          <w:rFonts w:ascii="Times New Roman" w:hAnsi="Times New Roman" w:cs="Times New Roman"/>
          <w:b/>
          <w:bCs/>
          <w:kern w:val="0"/>
          <w:sz w:val="26"/>
          <w:szCs w:val="26"/>
        </w:rPr>
      </w:pPr>
      <w:r w:rsidRPr="00A01F16">
        <w:rPr>
          <w:rFonts w:ascii="Times New Roman" w:hAnsi="Times New Roman" w:cs="Times New Roman"/>
          <w:b/>
          <w:bCs/>
          <w:kern w:val="0"/>
          <w:sz w:val="28"/>
          <w:szCs w:val="28"/>
        </w:rPr>
        <w:t>La diversificació</w:t>
      </w:r>
      <w:r w:rsidR="00B0657F" w:rsidRPr="00A01F16">
        <w:rPr>
          <w:rFonts w:ascii="Times New Roman" w:hAnsi="Times New Roman" w:cs="Times New Roman"/>
          <w:b/>
          <w:bCs/>
          <w:kern w:val="0"/>
          <w:sz w:val="28"/>
          <w:szCs w:val="28"/>
        </w:rPr>
        <w:t>n</w:t>
      </w:r>
      <w:r w:rsidRPr="00A01F16">
        <w:rPr>
          <w:rFonts w:ascii="Times New Roman" w:hAnsi="Times New Roman" w:cs="Times New Roman"/>
          <w:b/>
          <w:bCs/>
          <w:kern w:val="0"/>
          <w:sz w:val="28"/>
          <w:szCs w:val="28"/>
        </w:rPr>
        <w:t xml:space="preserve"> de les form</w:t>
      </w:r>
      <w:r w:rsidR="00B0657F" w:rsidRPr="00A01F16">
        <w:rPr>
          <w:rFonts w:ascii="Times New Roman" w:hAnsi="Times New Roman" w:cs="Times New Roman"/>
          <w:b/>
          <w:bCs/>
          <w:kern w:val="0"/>
          <w:sz w:val="28"/>
          <w:szCs w:val="28"/>
        </w:rPr>
        <w:t>a</w:t>
      </w:r>
      <w:r w:rsidRPr="00A01F16">
        <w:rPr>
          <w:rFonts w:ascii="Times New Roman" w:hAnsi="Times New Roman" w:cs="Times New Roman"/>
          <w:b/>
          <w:bCs/>
          <w:kern w:val="0"/>
          <w:sz w:val="28"/>
          <w:szCs w:val="28"/>
        </w:rPr>
        <w:t xml:space="preserve">s de </w:t>
      </w:r>
      <w:r w:rsidR="00B0657F" w:rsidRPr="00A01F16">
        <w:rPr>
          <w:rFonts w:ascii="Times New Roman" w:hAnsi="Times New Roman" w:cs="Times New Roman"/>
          <w:b/>
          <w:bCs/>
          <w:kern w:val="0"/>
          <w:sz w:val="28"/>
          <w:szCs w:val="28"/>
        </w:rPr>
        <w:t>tenencia</w:t>
      </w:r>
      <w:r w:rsidR="007A2197" w:rsidRPr="00A01F16">
        <w:rPr>
          <w:rFonts w:ascii="Times New Roman" w:hAnsi="Times New Roman" w:cs="Times New Roman"/>
          <w:b/>
          <w:bCs/>
          <w:kern w:val="0"/>
          <w:sz w:val="28"/>
          <w:szCs w:val="28"/>
        </w:rPr>
        <w:t xml:space="preserve"> </w:t>
      </w:r>
      <w:r w:rsidR="001E42B0" w:rsidRPr="00A01F16">
        <w:rPr>
          <w:rFonts w:ascii="Times New Roman" w:hAnsi="Times New Roman" w:cs="Times New Roman"/>
          <w:b/>
          <w:bCs/>
          <w:kern w:val="0"/>
          <w:sz w:val="28"/>
          <w:szCs w:val="28"/>
        </w:rPr>
        <w:t>de la vivienda</w:t>
      </w:r>
    </w:p>
    <w:p w14:paraId="748A7C8C" w14:textId="77777777" w:rsidR="00534BC7" w:rsidRPr="00F47564" w:rsidRDefault="00534BC7" w:rsidP="005A5238">
      <w:pPr>
        <w:pStyle w:val="paraOJS"/>
        <w:rPr>
          <w:lang w:eastAsia="es-ES_tradnl"/>
        </w:rPr>
      </w:pPr>
    </w:p>
    <w:p w14:paraId="38B250C9" w14:textId="183B4AA1" w:rsidR="0037546B" w:rsidRPr="00F47564" w:rsidRDefault="004F2494" w:rsidP="00A01F16">
      <w:pPr>
        <w:pStyle w:val="paraOJS"/>
      </w:pPr>
      <w:r w:rsidRPr="00F47564">
        <w:rPr>
          <w:lang w:eastAsia="es-ES_tradnl"/>
        </w:rPr>
        <w:t xml:space="preserve">La diversificación y potenciación de las formas de tenencia inmobiliaria fue sugerida </w:t>
      </w:r>
      <w:r w:rsidR="004029E6" w:rsidRPr="00F47564">
        <w:rPr>
          <w:lang w:eastAsia="es-ES_tradnl"/>
        </w:rPr>
        <w:t xml:space="preserve">en la </w:t>
      </w:r>
      <w:r w:rsidRPr="00F47564">
        <w:rPr>
          <w:lang w:eastAsia="es-ES_tradnl"/>
        </w:rPr>
        <w:t>Agenda Urbana de Naciones Unidas en 2016</w:t>
      </w:r>
      <w:r w:rsidR="00394686" w:rsidRPr="00F47564">
        <w:rPr>
          <w:rStyle w:val="Refdenotaalpie"/>
          <w:color w:val="000000"/>
        </w:rPr>
        <w:footnoteReference w:id="39"/>
      </w:r>
      <w:r w:rsidR="006A6BA9" w:rsidRPr="00F47564">
        <w:rPr>
          <w:lang w:eastAsia="es-ES_tradnl"/>
        </w:rPr>
        <w:t>,</w:t>
      </w:r>
      <w:r w:rsidR="003009B2" w:rsidRPr="00F47564">
        <w:rPr>
          <w:lang w:eastAsia="es-ES_tradnl"/>
        </w:rPr>
        <w:t xml:space="preserve"> </w:t>
      </w:r>
      <w:r w:rsidRPr="00F47564">
        <w:rPr>
          <w:lang w:eastAsia="es-ES_tradnl"/>
        </w:rPr>
        <w:t xml:space="preserve">y en </w:t>
      </w:r>
      <w:r w:rsidR="0080110E" w:rsidRPr="00F47564">
        <w:rPr>
          <w:lang w:eastAsia="es-ES_tradnl"/>
        </w:rPr>
        <w:t xml:space="preserve">la </w:t>
      </w:r>
      <w:r w:rsidR="004F0683" w:rsidRPr="00F47564">
        <w:rPr>
          <w:lang w:eastAsia="es-ES_tradnl"/>
        </w:rPr>
        <w:t>Comunidad</w:t>
      </w:r>
      <w:r w:rsidR="0080110E" w:rsidRPr="00F47564">
        <w:rPr>
          <w:lang w:eastAsia="es-ES_tradnl"/>
        </w:rPr>
        <w:t xml:space="preserve"> Autónoma de </w:t>
      </w:r>
      <w:r w:rsidRPr="00F47564">
        <w:rPr>
          <w:lang w:eastAsia="es-ES_tradnl"/>
        </w:rPr>
        <w:t xml:space="preserve">Cataluña </w:t>
      </w:r>
      <w:r w:rsidR="0080110E" w:rsidRPr="00F47564">
        <w:rPr>
          <w:lang w:eastAsia="es-ES_tradnl"/>
        </w:rPr>
        <w:t>(con</w:t>
      </w:r>
      <w:r w:rsidR="00E0049C" w:rsidRPr="00F47564">
        <w:rPr>
          <w:lang w:eastAsia="es-ES_tradnl"/>
        </w:rPr>
        <w:t xml:space="preserve"> </w:t>
      </w:r>
      <w:r w:rsidR="0080110E" w:rsidRPr="00F47564">
        <w:rPr>
          <w:lang w:eastAsia="es-ES_tradnl"/>
        </w:rPr>
        <w:t xml:space="preserve">competencias en materia de Derecho Civil, artículo 149.1.8 CE) </w:t>
      </w:r>
      <w:r w:rsidRPr="00F47564">
        <w:rPr>
          <w:lang w:eastAsia="es-ES_tradnl"/>
        </w:rPr>
        <w:t xml:space="preserve">contamos con la ventaja de que la Ley </w:t>
      </w:r>
      <w:r w:rsidR="00952423" w:rsidRPr="00F47564">
        <w:rPr>
          <w:lang w:eastAsia="es-ES_tradnl"/>
        </w:rPr>
        <w:t xml:space="preserve">catalana </w:t>
      </w:r>
      <w:r w:rsidRPr="00F47564">
        <w:rPr>
          <w:lang w:eastAsia="es-ES_tradnl"/>
        </w:rPr>
        <w:t>19/2015</w:t>
      </w:r>
      <w:r w:rsidR="00665367" w:rsidRPr="00F47564">
        <w:rPr>
          <w:rStyle w:val="Refdenotaalpie"/>
          <w:lang w:eastAsia="es-ES_tradnl"/>
        </w:rPr>
        <w:footnoteReference w:id="40"/>
      </w:r>
      <w:r w:rsidR="006A6BA9" w:rsidRPr="00F47564">
        <w:rPr>
          <w:lang w:eastAsia="es-ES_tradnl"/>
        </w:rPr>
        <w:t xml:space="preserve"> </w:t>
      </w:r>
      <w:r w:rsidRPr="00F47564">
        <w:rPr>
          <w:lang w:eastAsia="es-ES_tradnl"/>
        </w:rPr>
        <w:t xml:space="preserve">ya regulan la propiedad compartida y la propiedad temporal, que intentan combinar las ventajas de la propiedad (estabilidad, libertad, autonomía, etc.) y los alquileres (flexibilidad y asequibilidad). La propiedad compartida confiere a uno de los dos titulares, el propietario material, una cuota del dominio, la posesión, el uso y el disfrute exclusivo del bien y el derecho de adquirir, de forma gradual, la cuota restante del otro titular, llamado propietario formal (art. 556-1 CCC), mientras que la temporal confiere a su titular el dominio de un bien durante un plazo cierto y determinado, vencido el cual el dominio hace tráfico al titular sucesivo (art. 547-1 CCC). Ambas </w:t>
      </w:r>
      <w:r w:rsidR="00795ED9" w:rsidRPr="00F47564">
        <w:rPr>
          <w:lang w:eastAsia="es-ES_tradnl"/>
        </w:rPr>
        <w:t>est</w:t>
      </w:r>
      <w:r w:rsidR="00EF26BF" w:rsidRPr="00F47564">
        <w:rPr>
          <w:lang w:eastAsia="es-ES_tradnl"/>
        </w:rPr>
        <w:t xml:space="preserve">án inspiradas en el </w:t>
      </w:r>
      <w:proofErr w:type="spellStart"/>
      <w:r w:rsidR="00EF26BF" w:rsidRPr="00F47564">
        <w:rPr>
          <w:i/>
          <w:iCs/>
          <w:lang w:eastAsia="es-ES_tradnl"/>
        </w:rPr>
        <w:t>leasehold</w:t>
      </w:r>
      <w:proofErr w:type="spellEnd"/>
      <w:r w:rsidR="009F5A6D" w:rsidRPr="00F47564">
        <w:rPr>
          <w:lang w:eastAsia="es-ES_tradnl"/>
        </w:rPr>
        <w:t xml:space="preserve"> (sin reminiscencias feudales) y </w:t>
      </w:r>
      <w:r w:rsidR="00EF26BF" w:rsidRPr="00F47564">
        <w:rPr>
          <w:lang w:eastAsia="es-ES_tradnl"/>
        </w:rPr>
        <w:t xml:space="preserve">en la </w:t>
      </w:r>
      <w:proofErr w:type="spellStart"/>
      <w:r w:rsidR="00EF26BF" w:rsidRPr="00F47564">
        <w:rPr>
          <w:i/>
          <w:iCs/>
          <w:lang w:eastAsia="es-ES_tradnl"/>
        </w:rPr>
        <w:t>shared</w:t>
      </w:r>
      <w:proofErr w:type="spellEnd"/>
      <w:r w:rsidR="00EF26BF" w:rsidRPr="00F47564">
        <w:rPr>
          <w:i/>
          <w:iCs/>
          <w:lang w:eastAsia="es-ES_tradnl"/>
        </w:rPr>
        <w:t xml:space="preserve"> </w:t>
      </w:r>
      <w:proofErr w:type="spellStart"/>
      <w:r w:rsidR="00EF26BF" w:rsidRPr="00F47564">
        <w:rPr>
          <w:i/>
          <w:iCs/>
          <w:lang w:eastAsia="es-ES_tradnl"/>
        </w:rPr>
        <w:t>ownership</w:t>
      </w:r>
      <w:proofErr w:type="spellEnd"/>
      <w:r w:rsidR="00EF26BF" w:rsidRPr="00F47564">
        <w:rPr>
          <w:lang w:eastAsia="es-ES_tradnl"/>
        </w:rPr>
        <w:t xml:space="preserve"> inglesas</w:t>
      </w:r>
      <w:r w:rsidR="009F5A6D" w:rsidRPr="00F47564">
        <w:rPr>
          <w:lang w:eastAsia="es-ES_tradnl"/>
        </w:rPr>
        <w:t>, respectivamente</w:t>
      </w:r>
      <w:r w:rsidR="004666DA" w:rsidRPr="00F47564">
        <w:rPr>
          <w:lang w:eastAsia="es-ES_tradnl"/>
        </w:rPr>
        <w:t xml:space="preserve"> (e</w:t>
      </w:r>
      <w:r w:rsidR="009F5A6D" w:rsidRPr="00F47564">
        <w:rPr>
          <w:lang w:eastAsia="es-ES_tradnl"/>
        </w:rPr>
        <w:t>st</w:t>
      </w:r>
      <w:r w:rsidR="00EF26BF" w:rsidRPr="00F47564">
        <w:rPr>
          <w:lang w:eastAsia="es-ES_tradnl"/>
        </w:rPr>
        <w:t>a</w:t>
      </w:r>
      <w:r w:rsidR="009F5A6D" w:rsidRPr="00F47564">
        <w:rPr>
          <w:lang w:eastAsia="es-ES_tradnl"/>
        </w:rPr>
        <w:t xml:space="preserve"> últim</w:t>
      </w:r>
      <w:r w:rsidR="004666DA" w:rsidRPr="00F47564">
        <w:rPr>
          <w:lang w:eastAsia="es-ES_tradnl"/>
        </w:rPr>
        <w:t>a</w:t>
      </w:r>
      <w:r w:rsidR="009F5A6D" w:rsidRPr="00F47564">
        <w:rPr>
          <w:lang w:eastAsia="es-ES_tradnl"/>
        </w:rPr>
        <w:t xml:space="preserve"> se introdujo en el Reino Unido durante las décadas de 1970 y 1980 y actualmente representa menos del 1 % de todos los hogares en Inglaterr</w:t>
      </w:r>
      <w:r w:rsidR="004666DA" w:rsidRPr="00F47564">
        <w:rPr>
          <w:lang w:eastAsia="es-ES_tradnl"/>
        </w:rPr>
        <w:t>a, aunque</w:t>
      </w:r>
      <w:r w:rsidR="009F5A6D" w:rsidRPr="00F47564">
        <w:rPr>
          <w:lang w:eastAsia="es-ES_tradnl"/>
        </w:rPr>
        <w:t xml:space="preserve"> </w:t>
      </w:r>
      <w:r w:rsidR="00FE4829" w:rsidRPr="00F47564">
        <w:rPr>
          <w:lang w:eastAsia="es-ES_tradnl"/>
        </w:rPr>
        <w:t>el esquema</w:t>
      </w:r>
      <w:r w:rsidR="009F5A6D" w:rsidRPr="00F47564">
        <w:rPr>
          <w:lang w:eastAsia="es-ES_tradnl"/>
        </w:rPr>
        <w:t xml:space="preserve"> </w:t>
      </w:r>
      <w:r w:rsidR="00FE4829" w:rsidRPr="00F47564">
        <w:rPr>
          <w:lang w:eastAsia="es-ES_tradnl"/>
        </w:rPr>
        <w:t>va</w:t>
      </w:r>
      <w:r w:rsidR="009F5A6D" w:rsidRPr="00F47564">
        <w:rPr>
          <w:lang w:eastAsia="es-ES_tradnl"/>
        </w:rPr>
        <w:t xml:space="preserve"> aumentado </w:t>
      </w:r>
      <w:r w:rsidR="00FE4829" w:rsidRPr="00F47564">
        <w:rPr>
          <w:lang w:eastAsia="es-ES_tradnl"/>
        </w:rPr>
        <w:t>año tras año</w:t>
      </w:r>
      <w:r w:rsidR="00FE4829" w:rsidRPr="00F47564">
        <w:rPr>
          <w:rStyle w:val="Refdenotaalpie"/>
          <w:lang w:eastAsia="es-ES_tradnl"/>
        </w:rPr>
        <w:footnoteReference w:id="41"/>
      </w:r>
      <w:r w:rsidR="003629D6" w:rsidRPr="00F47564">
        <w:rPr>
          <w:lang w:eastAsia="es-ES_tradnl"/>
        </w:rPr>
        <w:t>)</w:t>
      </w:r>
      <w:r w:rsidR="009F5A6D" w:rsidRPr="00F47564">
        <w:rPr>
          <w:lang w:eastAsia="es-ES_tradnl"/>
        </w:rPr>
        <w:t>.</w:t>
      </w:r>
      <w:r w:rsidR="00B21473" w:rsidRPr="00F47564">
        <w:rPr>
          <w:lang w:eastAsia="es-ES_tradnl"/>
        </w:rPr>
        <w:t xml:space="preserve"> </w:t>
      </w:r>
      <w:r w:rsidR="00FE4829" w:rsidRPr="00F47564">
        <w:rPr>
          <w:lang w:eastAsia="es-ES_tradnl"/>
        </w:rPr>
        <w:t xml:space="preserve">Estas tenencias </w:t>
      </w:r>
      <w:r w:rsidRPr="00F47564">
        <w:rPr>
          <w:lang w:eastAsia="es-ES_tradnl"/>
        </w:rPr>
        <w:t>buscan facilitar el acceso a la vivienda en propiedad de una forma sostenible en el tiempo, lo que se ha demostrado desde una perspectiva económica</w:t>
      </w:r>
      <w:r w:rsidR="00785402" w:rsidRPr="00F47564">
        <w:rPr>
          <w:lang w:eastAsia="es-ES_tradnl"/>
        </w:rPr>
        <w:t xml:space="preserve"> (</w:t>
      </w:r>
      <w:r w:rsidR="00785402" w:rsidRPr="00F47564">
        <w:t>Soler Tarradellas, 2017, 580 y ss.</w:t>
      </w:r>
      <w:r w:rsidR="00785402" w:rsidRPr="00F47564">
        <w:rPr>
          <w:lang w:eastAsia="es-ES_tradnl"/>
        </w:rPr>
        <w:t>)</w:t>
      </w:r>
      <w:r w:rsidR="00EE551C" w:rsidRPr="00F47564">
        <w:rPr>
          <w:lang w:eastAsia="es-ES_tradnl"/>
        </w:rPr>
        <w:t xml:space="preserve">, </w:t>
      </w:r>
      <w:r w:rsidRPr="00F47564">
        <w:rPr>
          <w:lang w:eastAsia="es-ES_tradnl"/>
        </w:rPr>
        <w:t>lo que ha motivado que hayan sido elegidas como una de las</w:t>
      </w:r>
      <w:r w:rsidR="0032760E" w:rsidRPr="00F47564">
        <w:rPr>
          <w:lang w:eastAsia="es-ES_tradnl"/>
        </w:rPr>
        <w:t xml:space="preserve"> </w:t>
      </w:r>
      <w:r w:rsidR="003B3B79" w:rsidRPr="00F47564">
        <w:rPr>
          <w:rStyle w:val="longtext"/>
          <w:i/>
          <w:iCs/>
        </w:rPr>
        <w:t xml:space="preserve">50 </w:t>
      </w:r>
      <w:proofErr w:type="spellStart"/>
      <w:r w:rsidR="003B3B79" w:rsidRPr="00F47564">
        <w:rPr>
          <w:rStyle w:val="longtext"/>
          <w:i/>
          <w:iCs/>
        </w:rPr>
        <w:t>out</w:t>
      </w:r>
      <w:proofErr w:type="spellEnd"/>
      <w:r w:rsidR="003B3B79" w:rsidRPr="00F47564">
        <w:rPr>
          <w:rStyle w:val="longtext"/>
          <w:i/>
          <w:iCs/>
        </w:rPr>
        <w:t>-</w:t>
      </w:r>
      <w:proofErr w:type="spellStart"/>
      <w:r w:rsidR="003B3B79" w:rsidRPr="00F47564">
        <w:rPr>
          <w:rStyle w:val="longtext"/>
          <w:i/>
          <w:iCs/>
        </w:rPr>
        <w:t>of</w:t>
      </w:r>
      <w:proofErr w:type="spellEnd"/>
      <w:r w:rsidR="003B3B79" w:rsidRPr="00F47564">
        <w:rPr>
          <w:rStyle w:val="longtext"/>
          <w:i/>
          <w:iCs/>
        </w:rPr>
        <w:t>-</w:t>
      </w:r>
      <w:proofErr w:type="spellStart"/>
      <w:r w:rsidR="003B3B79" w:rsidRPr="00F47564">
        <w:rPr>
          <w:rStyle w:val="longtext"/>
          <w:i/>
          <w:iCs/>
        </w:rPr>
        <w:t>the</w:t>
      </w:r>
      <w:proofErr w:type="spellEnd"/>
      <w:r w:rsidR="003B3B79" w:rsidRPr="00F47564">
        <w:rPr>
          <w:rStyle w:val="longtext"/>
          <w:i/>
          <w:iCs/>
        </w:rPr>
        <w:t xml:space="preserve">-box </w:t>
      </w:r>
      <w:proofErr w:type="spellStart"/>
      <w:r w:rsidR="003B3B79" w:rsidRPr="00F47564">
        <w:rPr>
          <w:rStyle w:val="longtext"/>
          <w:i/>
          <w:iCs/>
        </w:rPr>
        <w:t>Housing</w:t>
      </w:r>
      <w:proofErr w:type="spellEnd"/>
      <w:r w:rsidR="003B3B79" w:rsidRPr="00F47564">
        <w:rPr>
          <w:rStyle w:val="longtext"/>
          <w:i/>
          <w:iCs/>
        </w:rPr>
        <w:t xml:space="preserve"> </w:t>
      </w:r>
      <w:proofErr w:type="spellStart"/>
      <w:r w:rsidR="003B3B79" w:rsidRPr="00F47564">
        <w:rPr>
          <w:rStyle w:val="longtext"/>
          <w:i/>
          <w:iCs/>
        </w:rPr>
        <w:t>Solutions</w:t>
      </w:r>
      <w:proofErr w:type="spellEnd"/>
      <w:r w:rsidR="003B3B79" w:rsidRPr="00F47564">
        <w:rPr>
          <w:rStyle w:val="longtext"/>
        </w:rPr>
        <w:t xml:space="preserve"> </w:t>
      </w:r>
      <w:r w:rsidRPr="00F47564">
        <w:rPr>
          <w:rStyle w:val="longtext"/>
        </w:rPr>
        <w:t>para proveer vivienda asequible en Europa</w:t>
      </w:r>
      <w:r w:rsidR="003B3B79" w:rsidRPr="00F47564">
        <w:rPr>
          <w:rStyle w:val="Refdenotaalpie"/>
        </w:rPr>
        <w:footnoteReference w:id="42"/>
      </w:r>
      <w:r w:rsidR="003B3B79" w:rsidRPr="00F47564">
        <w:rPr>
          <w:rStyle w:val="longtext"/>
        </w:rPr>
        <w:t xml:space="preserve"> </w:t>
      </w:r>
      <w:r w:rsidRPr="00F47564">
        <w:rPr>
          <w:rStyle w:val="longtext"/>
        </w:rPr>
        <w:t>y que se mencionen como mejor práctica en el informe</w:t>
      </w:r>
      <w:r w:rsidR="003B3B79" w:rsidRPr="00F47564">
        <w:t xml:space="preserve"> </w:t>
      </w:r>
      <w:r w:rsidR="003B3B79" w:rsidRPr="00F47564">
        <w:rPr>
          <w:i/>
          <w:iCs/>
        </w:rPr>
        <w:t xml:space="preserve">Concrete </w:t>
      </w:r>
      <w:proofErr w:type="spellStart"/>
      <w:r w:rsidR="003B3B79" w:rsidRPr="00F47564">
        <w:rPr>
          <w:i/>
          <w:iCs/>
        </w:rPr>
        <w:t>actions</w:t>
      </w:r>
      <w:proofErr w:type="spellEnd"/>
      <w:r w:rsidR="003B3B79" w:rsidRPr="00F47564">
        <w:rPr>
          <w:i/>
          <w:iCs/>
        </w:rPr>
        <w:t xml:space="preserve"> </w:t>
      </w:r>
      <w:proofErr w:type="spellStart"/>
      <w:r w:rsidR="003B3B79" w:rsidRPr="00F47564">
        <w:rPr>
          <w:i/>
          <w:iCs/>
        </w:rPr>
        <w:t>for</w:t>
      </w:r>
      <w:proofErr w:type="spellEnd"/>
      <w:r w:rsidR="003B3B79" w:rsidRPr="00F47564">
        <w:rPr>
          <w:i/>
          <w:iCs/>
        </w:rPr>
        <w:t xml:space="preserve"> social and </w:t>
      </w:r>
      <w:proofErr w:type="spellStart"/>
      <w:r w:rsidR="003B3B79" w:rsidRPr="00F47564">
        <w:rPr>
          <w:i/>
          <w:iCs/>
        </w:rPr>
        <w:t>affordable</w:t>
      </w:r>
      <w:proofErr w:type="spellEnd"/>
      <w:r w:rsidR="003B3B79" w:rsidRPr="00F47564">
        <w:rPr>
          <w:i/>
          <w:iCs/>
        </w:rPr>
        <w:t xml:space="preserve"> </w:t>
      </w:r>
      <w:proofErr w:type="spellStart"/>
      <w:r w:rsidR="003B3B79" w:rsidRPr="00F47564">
        <w:rPr>
          <w:i/>
          <w:iCs/>
        </w:rPr>
        <w:t>housing</w:t>
      </w:r>
      <w:proofErr w:type="spellEnd"/>
      <w:r w:rsidR="003B3B79" w:rsidRPr="00F47564">
        <w:rPr>
          <w:i/>
          <w:iCs/>
        </w:rPr>
        <w:t xml:space="preserve"> in </w:t>
      </w:r>
      <w:proofErr w:type="spellStart"/>
      <w:r w:rsidR="003B3B79" w:rsidRPr="00F47564">
        <w:rPr>
          <w:i/>
          <w:iCs/>
        </w:rPr>
        <w:t>the</w:t>
      </w:r>
      <w:proofErr w:type="spellEnd"/>
      <w:r w:rsidR="003B3B79" w:rsidRPr="00F47564">
        <w:rPr>
          <w:i/>
          <w:iCs/>
        </w:rPr>
        <w:t xml:space="preserve"> EU</w:t>
      </w:r>
      <w:r w:rsidR="003B3B79" w:rsidRPr="00F47564">
        <w:rPr>
          <w:rStyle w:val="Refdenotaalpie"/>
        </w:rPr>
        <w:footnoteReference w:id="43"/>
      </w:r>
      <w:r w:rsidR="003B3B79" w:rsidRPr="00F47564">
        <w:t>.</w:t>
      </w:r>
      <w:r w:rsidR="002B7454" w:rsidRPr="00F47564">
        <w:t xml:space="preserve"> </w:t>
      </w:r>
      <w:r w:rsidRPr="00F47564">
        <w:t xml:space="preserve">Sin embargo, su uso no se ha potenciado suficientemente por la Administración, a pesar de utilizarse en el marco del derecho de tanteo y retracto previsto en el art. 2 Decreto ley </w:t>
      </w:r>
      <w:r w:rsidR="00952423" w:rsidRPr="00F47564">
        <w:t xml:space="preserve">catalán </w:t>
      </w:r>
      <w:r w:rsidRPr="00F47564">
        <w:t>1/2015</w:t>
      </w:r>
      <w:r w:rsidR="005C5279" w:rsidRPr="00F47564">
        <w:rPr>
          <w:rStyle w:val="Refdenotaalpie"/>
          <w:lang w:eastAsia="es-ES_tradnl"/>
        </w:rPr>
        <w:footnoteReference w:id="44"/>
      </w:r>
      <w:r w:rsidR="00B329F5" w:rsidRPr="00F47564">
        <w:rPr>
          <w:lang w:eastAsia="es-ES_tradnl"/>
        </w:rPr>
        <w:t>.</w:t>
      </w:r>
    </w:p>
    <w:p w14:paraId="5EBD0631" w14:textId="545AA4E3" w:rsidR="000D597D" w:rsidRPr="00F47564" w:rsidRDefault="007871A7" w:rsidP="00A01F16">
      <w:pPr>
        <w:pStyle w:val="paraOJS"/>
        <w:rPr>
          <w:lang w:eastAsia="es-ES_tradnl"/>
        </w:rPr>
      </w:pPr>
      <w:r w:rsidRPr="00F47564">
        <w:rPr>
          <w:lang w:eastAsia="es-ES_tradnl"/>
        </w:rPr>
        <w:lastRenderedPageBreak/>
        <w:t>E</w:t>
      </w:r>
      <w:r w:rsidR="004029E6" w:rsidRPr="00F47564">
        <w:rPr>
          <w:lang w:eastAsia="es-ES_tradnl"/>
        </w:rPr>
        <w:t>l contexto actual</w:t>
      </w:r>
      <w:r w:rsidR="004F2494" w:rsidRPr="00F47564">
        <w:rPr>
          <w:lang w:eastAsia="es-ES_tradnl"/>
        </w:rPr>
        <w:t xml:space="preserve"> está </w:t>
      </w:r>
      <w:r w:rsidR="004029E6" w:rsidRPr="00F47564">
        <w:rPr>
          <w:lang w:eastAsia="es-ES_tradnl"/>
        </w:rPr>
        <w:t xml:space="preserve">fomentando </w:t>
      </w:r>
      <w:r w:rsidR="004F2494" w:rsidRPr="00F47564">
        <w:rPr>
          <w:lang w:eastAsia="es-ES_tradnl"/>
        </w:rPr>
        <w:t xml:space="preserve">una </w:t>
      </w:r>
      <w:r w:rsidR="00105725" w:rsidRPr="00F47564">
        <w:rPr>
          <w:lang w:eastAsia="es-ES_tradnl"/>
        </w:rPr>
        <w:t xml:space="preserve">mayor brecha entre </w:t>
      </w:r>
      <w:r w:rsidR="004F2494" w:rsidRPr="00F47564">
        <w:rPr>
          <w:lang w:eastAsia="es-ES_tradnl"/>
        </w:rPr>
        <w:t xml:space="preserve">propietarios </w:t>
      </w:r>
      <w:r w:rsidR="00105725" w:rsidRPr="00F47564">
        <w:rPr>
          <w:lang w:eastAsia="es-ES_tradnl"/>
        </w:rPr>
        <w:t>e</w:t>
      </w:r>
      <w:r w:rsidR="004F2494" w:rsidRPr="00F47564">
        <w:rPr>
          <w:lang w:eastAsia="es-ES_tradnl"/>
        </w:rPr>
        <w:t xml:space="preserve"> inquilinos, </w:t>
      </w:r>
      <w:r w:rsidR="00105725" w:rsidRPr="00F47564">
        <w:rPr>
          <w:lang w:eastAsia="es-ES_tradnl"/>
        </w:rPr>
        <w:t xml:space="preserve">en términos de riqueza y acceso a la vivienda, </w:t>
      </w:r>
      <w:r w:rsidR="004F2494" w:rsidRPr="00F47564">
        <w:rPr>
          <w:lang w:eastAsia="es-ES_tradnl"/>
        </w:rPr>
        <w:t xml:space="preserve">lo que no es deseable ni desde la perspectiva privada (en Suiza el 39% de las viviendas pertenecen a 6 fondos de inversión, lo que provoca que sólo el 4% de los suizos sean propietarios con la hipoteca pagada; en España </w:t>
      </w:r>
      <w:r w:rsidR="0032760E" w:rsidRPr="00F47564">
        <w:rPr>
          <w:lang w:eastAsia="es-ES_tradnl"/>
        </w:rPr>
        <w:t xml:space="preserve">el porcentaje es del </w:t>
      </w:r>
      <w:r w:rsidR="004F2494" w:rsidRPr="00F47564">
        <w:rPr>
          <w:lang w:eastAsia="es-ES_tradnl"/>
        </w:rPr>
        <w:t xml:space="preserve">45-46%) ni pública, lo que crea clientelismo (como </w:t>
      </w:r>
      <w:r w:rsidR="009D11A1" w:rsidRPr="00F47564">
        <w:rPr>
          <w:lang w:eastAsia="es-ES_tradnl"/>
        </w:rPr>
        <w:t xml:space="preserve">ha sucedido </w:t>
      </w:r>
      <w:r w:rsidR="004F2494" w:rsidRPr="00F47564">
        <w:rPr>
          <w:lang w:eastAsia="es-ES_tradnl"/>
        </w:rPr>
        <w:t>en Viena, donde el Ayuntamiento es propietario de más del 60% de las viviendas sociales, pero el gobierno no ha cambiado en 100 años</w:t>
      </w:r>
      <w:r w:rsidR="00E0231F" w:rsidRPr="00F47564">
        <w:rPr>
          <w:rStyle w:val="Refdenotaalpie"/>
          <w:rFonts w:eastAsia="Times New Roman"/>
          <w:lang w:eastAsia="es-ES_tradnl"/>
          <w14:ligatures w14:val="none"/>
        </w:rPr>
        <w:footnoteReference w:id="45"/>
      </w:r>
      <w:r w:rsidR="002030C9" w:rsidRPr="00F47564">
        <w:rPr>
          <w:lang w:eastAsia="es-ES_tradnl"/>
        </w:rPr>
        <w:t xml:space="preserve">). </w:t>
      </w:r>
      <w:r w:rsidR="004F2494" w:rsidRPr="00F47564">
        <w:rPr>
          <w:lang w:eastAsia="es-ES_tradnl"/>
        </w:rPr>
        <w:t>Por tanto, es un error continuar promoviendo únicamente la vivienda pública de alquiler</w:t>
      </w:r>
      <w:r w:rsidR="004054F1" w:rsidRPr="00F47564">
        <w:rPr>
          <w:rStyle w:val="Refdenotaalpie"/>
          <w:rFonts w:eastAsia="Times New Roman"/>
          <w:lang w:eastAsia="es-ES_tradnl"/>
          <w14:ligatures w14:val="none"/>
        </w:rPr>
        <w:footnoteReference w:id="46"/>
      </w:r>
      <w:r w:rsidR="00537A59" w:rsidRPr="00F47564">
        <w:rPr>
          <w:lang w:eastAsia="es-ES_tradnl"/>
        </w:rPr>
        <w:t xml:space="preserve">, </w:t>
      </w:r>
      <w:r w:rsidR="004F2494" w:rsidRPr="00F47564">
        <w:rPr>
          <w:lang w:eastAsia="es-ES_tradnl"/>
        </w:rPr>
        <w:t>mucho más cara de mantener y gestionar (sin saberse primero cuánto hay, dónde está, su estado de conservación y ocupación, a la vez que no existe un marco de referencia en torno a su gestión), aunque sea necesario para dar respuesta al acceso a la vivienda de ciertos colectivos vulnerables. Se trata</w:t>
      </w:r>
      <w:r w:rsidR="0032760E" w:rsidRPr="00F47564">
        <w:rPr>
          <w:lang w:eastAsia="es-ES_tradnl"/>
        </w:rPr>
        <w:t>, pues,</w:t>
      </w:r>
      <w:r w:rsidR="004F2494" w:rsidRPr="00F47564">
        <w:rPr>
          <w:lang w:eastAsia="es-ES_tradnl"/>
        </w:rPr>
        <w:t xml:space="preserve"> de una tenencia no deseada, antieconómica y con peores indicadores que la propiedad, al tiempo que es un mercado caro y poco desarrollado. De hecho, </w:t>
      </w:r>
      <w:r w:rsidR="009D11A1" w:rsidRPr="00F47564">
        <w:rPr>
          <w:lang w:eastAsia="es-ES_tradnl"/>
        </w:rPr>
        <w:t>desde la década de</w:t>
      </w:r>
      <w:r w:rsidR="004F2494" w:rsidRPr="00F47564">
        <w:rPr>
          <w:lang w:eastAsia="es-ES_tradnl"/>
        </w:rPr>
        <w:t xml:space="preserve"> 1960 hasta 2011 se construyeron 6,8 millones viviendas públicas en propiedad </w:t>
      </w:r>
      <w:r w:rsidR="0032760E" w:rsidRPr="00F47564">
        <w:rPr>
          <w:lang w:eastAsia="es-ES_tradnl"/>
        </w:rPr>
        <w:t xml:space="preserve">en España </w:t>
      </w:r>
      <w:r w:rsidR="004F2494" w:rsidRPr="00F47564">
        <w:rPr>
          <w:lang w:eastAsia="es-ES_tradnl"/>
        </w:rPr>
        <w:t>(lo que representa un 26% del parque residencial total, estimado en 25,5 millones de viviendas</w:t>
      </w:r>
      <w:r w:rsidR="006E1FAF" w:rsidRPr="00F47564">
        <w:rPr>
          <w:rStyle w:val="Refdenotaalpie"/>
          <w:rFonts w:eastAsia="Times New Roman"/>
          <w:lang w:eastAsia="es-ES_tradnl"/>
          <w14:ligatures w14:val="none"/>
        </w:rPr>
        <w:footnoteReference w:id="47"/>
      </w:r>
      <w:r w:rsidR="00F20ACD" w:rsidRPr="00F47564">
        <w:rPr>
          <w:lang w:eastAsia="es-ES_tradnl"/>
        </w:rPr>
        <w:t>),</w:t>
      </w:r>
      <w:r w:rsidR="009410E4" w:rsidRPr="00F47564">
        <w:rPr>
          <w:lang w:eastAsia="es-ES_tradnl"/>
        </w:rPr>
        <w:t xml:space="preserve"> </w:t>
      </w:r>
      <w:r w:rsidR="004F2494" w:rsidRPr="00F47564">
        <w:rPr>
          <w:lang w:eastAsia="es-ES_tradnl"/>
        </w:rPr>
        <w:t xml:space="preserve">una política pública que, coadyuvada por la Ley estatal de propiedad horizontal de 1960, ayudó a generalizar la vivienda en propiedad </w:t>
      </w:r>
      <w:r w:rsidR="0032760E" w:rsidRPr="00F47564">
        <w:rPr>
          <w:lang w:eastAsia="es-ES_tradnl"/>
        </w:rPr>
        <w:t>para</w:t>
      </w:r>
      <w:r w:rsidR="004F2494" w:rsidRPr="00F47564">
        <w:rPr>
          <w:lang w:eastAsia="es-ES_tradnl"/>
        </w:rPr>
        <w:t xml:space="preserve"> aquellas familias que hasta entonces nunca lo habían podido ser (aunque se puede discutir la ubicación de las viviendas o la pérdida de su carácter protegido con el tiempo) en una política </w:t>
      </w:r>
      <w:proofErr w:type="spellStart"/>
      <w:r w:rsidR="004F2494" w:rsidRPr="00F47564">
        <w:rPr>
          <w:lang w:eastAsia="es-ES_tradnl"/>
        </w:rPr>
        <w:t>distributista</w:t>
      </w:r>
      <w:proofErr w:type="spellEnd"/>
      <w:r w:rsidR="004F2494" w:rsidRPr="00F47564">
        <w:rPr>
          <w:lang w:eastAsia="es-ES_tradnl"/>
        </w:rPr>
        <w:t xml:space="preserve"> de la propiedad. Se pasó de un 45% de propietarios antes de su promulgación a más de un 80% a finales del siglo XX. Y desde un punto de vista comparado, los países del norte de Europa están comparativamente más sobreendeudados que nosotros, que siguen un modelo universalista a la hora de la provisión de vivienda social (la Administración debe dar soluciones para la vivienda), a diferencia de nuestro modelo, finalista, donde los subsidios, ayudas o la vivienda social tienen un rol más limitado y, por tanto, se confía en el Derecho privado para aportar soluciones estructurales en el acceso a</w:t>
      </w:r>
      <w:r w:rsidR="0032760E" w:rsidRPr="00F47564">
        <w:rPr>
          <w:lang w:eastAsia="es-ES_tradnl"/>
        </w:rPr>
        <w:t xml:space="preserve"> </w:t>
      </w:r>
      <w:r w:rsidR="004F2494" w:rsidRPr="00F47564">
        <w:rPr>
          <w:lang w:eastAsia="es-ES_tradnl"/>
        </w:rPr>
        <w:t>l</w:t>
      </w:r>
      <w:r w:rsidR="0032760E" w:rsidRPr="00F47564">
        <w:rPr>
          <w:lang w:eastAsia="es-ES_tradnl"/>
        </w:rPr>
        <w:t>a</w:t>
      </w:r>
      <w:r w:rsidR="004F2494" w:rsidRPr="00F47564">
        <w:rPr>
          <w:lang w:eastAsia="es-ES_tradnl"/>
        </w:rPr>
        <w:t xml:space="preserve"> vivienda</w:t>
      </w:r>
      <w:r w:rsidR="00226F68" w:rsidRPr="00F47564">
        <w:rPr>
          <w:rStyle w:val="Refdenotaalpie"/>
          <w:rFonts w:eastAsia="Times New Roman"/>
          <w:lang w:eastAsia="es-ES_tradnl"/>
          <w14:ligatures w14:val="none"/>
        </w:rPr>
        <w:footnoteReference w:id="48"/>
      </w:r>
      <w:r w:rsidR="00F0478A" w:rsidRPr="00F47564">
        <w:rPr>
          <w:lang w:eastAsia="es-ES_tradnl"/>
        </w:rPr>
        <w:t>.</w:t>
      </w:r>
    </w:p>
    <w:p w14:paraId="45046AD6" w14:textId="0CBF743C" w:rsidR="000F519D" w:rsidRPr="00F47564" w:rsidRDefault="004F2494" w:rsidP="00A01F16">
      <w:pPr>
        <w:pStyle w:val="paraOJS"/>
        <w:rPr>
          <w:lang w:eastAsia="es-ES_tradnl"/>
        </w:rPr>
      </w:pPr>
      <w:r w:rsidRPr="00F47564">
        <w:rPr>
          <w:lang w:eastAsia="es-ES_tradnl"/>
        </w:rPr>
        <w:lastRenderedPageBreak/>
        <w:t>España es un país con un Estado del bienestar débil</w:t>
      </w:r>
      <w:r w:rsidR="00B25320" w:rsidRPr="00F47564">
        <w:rPr>
          <w:rStyle w:val="Refdenotaalpie"/>
          <w:rFonts w:eastAsia="Times New Roman"/>
          <w:lang w:eastAsia="es-ES_tradnl"/>
          <w14:ligatures w14:val="none"/>
        </w:rPr>
        <w:footnoteReference w:id="49"/>
      </w:r>
      <w:r w:rsidR="0030124D" w:rsidRPr="00F47564">
        <w:rPr>
          <w:lang w:eastAsia="es-ES_tradnl"/>
        </w:rPr>
        <w:t xml:space="preserve">, </w:t>
      </w:r>
      <w:r w:rsidRPr="00F47564">
        <w:rPr>
          <w:lang w:eastAsia="es-ES_tradnl"/>
        </w:rPr>
        <w:t>donde la propiedad y la riqueza inmobiliaria han jugado un papel esencial para dar seguridad, estabilidad y libertad a las familias y depender menos de los subsidios públicos. De hecho, la vivienda principal supone más del 60% de la riqueza de los hogares que se encuentran en el percentil de riqueza neta inferior al 50%</w:t>
      </w:r>
      <w:r w:rsidR="005E1D83" w:rsidRPr="00F47564">
        <w:rPr>
          <w:rStyle w:val="Refdenotaalpie"/>
          <w:rFonts w:eastAsia="Times New Roman"/>
          <w:lang w:eastAsia="es-ES_tradnl"/>
          <w14:ligatures w14:val="none"/>
        </w:rPr>
        <w:footnoteReference w:id="50"/>
      </w:r>
      <w:r w:rsidR="006473F8" w:rsidRPr="00F47564">
        <w:rPr>
          <w:lang w:eastAsia="es-ES_tradnl"/>
        </w:rPr>
        <w:t xml:space="preserve">, </w:t>
      </w:r>
      <w:r w:rsidRPr="00F47564">
        <w:rPr>
          <w:lang w:eastAsia="es-ES_tradnl"/>
        </w:rPr>
        <w:t>y los hogares españoles (los propietarios) han visto aumentar su riqueza un 29% en los últimos cinco años, con un mayor incremento en el caso de los hogares que son propietarios de una vivienda que en aquellos que no lo son</w:t>
      </w:r>
      <w:r w:rsidR="009731FF" w:rsidRPr="00F47564">
        <w:rPr>
          <w:rStyle w:val="Refdenotaalpie"/>
          <w:rFonts w:eastAsia="Times New Roman"/>
          <w:lang w:eastAsia="es-ES_tradnl"/>
          <w14:ligatures w14:val="none"/>
        </w:rPr>
        <w:footnoteReference w:id="51"/>
      </w:r>
      <w:r w:rsidR="009731FF" w:rsidRPr="00F47564">
        <w:rPr>
          <w:lang w:eastAsia="es-ES_tradnl"/>
        </w:rPr>
        <w:t>.</w:t>
      </w:r>
    </w:p>
    <w:p w14:paraId="7C146D9E" w14:textId="460ACAE0" w:rsidR="006A6BA9" w:rsidRPr="00F47564" w:rsidRDefault="004F2494" w:rsidP="00A01F16">
      <w:pPr>
        <w:pStyle w:val="paraOJS"/>
      </w:pPr>
      <w:r w:rsidRPr="00F47564">
        <w:rPr>
          <w:lang w:eastAsia="es-ES_tradnl"/>
        </w:rPr>
        <w:t>Por otra parte, las sucesivas reformas en la Ley de Arrendamientos Urbanos (LAU) de 1994</w:t>
      </w:r>
      <w:r w:rsidR="00E76633" w:rsidRPr="00F47564">
        <w:rPr>
          <w:rStyle w:val="Refdenotaalpie"/>
          <w:rFonts w:eastAsia="Times New Roman"/>
          <w:lang w:eastAsia="es-ES_tradnl"/>
          <w14:ligatures w14:val="none"/>
        </w:rPr>
        <w:footnoteReference w:id="52"/>
      </w:r>
      <w:r w:rsidR="0037546B" w:rsidRPr="00F47564">
        <w:rPr>
          <w:lang w:eastAsia="es-ES_tradnl"/>
        </w:rPr>
        <w:t xml:space="preserve"> </w:t>
      </w:r>
      <w:r w:rsidRPr="00F47564">
        <w:rPr>
          <w:lang w:eastAsia="es-ES_tradnl"/>
        </w:rPr>
        <w:t>(en 2013, 2015, 2018, 2019 y 2023) no han seguido estándares europeos, como un sistema de renta referenciado al precio de mercado pactable opcionalmente e incentivado y la posibilidad incentivada de contratar arrendamientos de duración indefinida</w:t>
      </w:r>
      <w:r w:rsidR="00973F78" w:rsidRPr="00F47564">
        <w:rPr>
          <w:rStyle w:val="Refdenotaalpie"/>
          <w:rFonts w:eastAsia="Times New Roman"/>
          <w:lang w:eastAsia="es-ES_tradnl"/>
          <w14:ligatures w14:val="none"/>
        </w:rPr>
        <w:footnoteReference w:id="53"/>
      </w:r>
      <w:r w:rsidR="006A6BA9" w:rsidRPr="00F47564">
        <w:rPr>
          <w:lang w:eastAsia="es-ES_tradnl"/>
        </w:rPr>
        <w:t>.</w:t>
      </w:r>
      <w:r w:rsidR="006A6BA9" w:rsidRPr="00F47564">
        <w:t xml:space="preserve"> </w:t>
      </w:r>
      <w:r w:rsidRPr="00F47564">
        <w:t>Por tanto, podrían convivir dos modelos: un alquiler a largo plazo (</w:t>
      </w:r>
      <w:r w:rsidR="0032760E" w:rsidRPr="00F47564">
        <w:t xml:space="preserve">destinado a las </w:t>
      </w:r>
      <w:r w:rsidRPr="00F47564">
        <w:t>familias), con vías para que el inquilino contribuya al mantenimiento y la rehabilitación de la vivienda, con apoyo en la renta para los propietarios que apuesten por estas fórmulas, y con garantías estipuladas en</w:t>
      </w:r>
      <w:r w:rsidR="0032760E" w:rsidRPr="00F47564">
        <w:t xml:space="preserve"> la</w:t>
      </w:r>
      <w:r w:rsidRPr="00F47564">
        <w:t xml:space="preserve"> recuperación de la vivienda por parte del propietario que lo pueda necesitar; y otro alquiler más liberalizado, que sí contemple contratos con mayor movilidad y sin penalizaciones para ambas partes, para evitar el temor a inquilinos que se quedan en un piso sin poder pagar el alquiler. Como se puede intuir, la voluntad tanto a nivel estatal</w:t>
      </w:r>
      <w:r w:rsidR="0045152E" w:rsidRPr="00F47564">
        <w:rPr>
          <w:rStyle w:val="Refdenotaalpie"/>
        </w:rPr>
        <w:footnoteReference w:id="54"/>
      </w:r>
      <w:r w:rsidR="004F6B03" w:rsidRPr="00F47564">
        <w:t xml:space="preserve"> </w:t>
      </w:r>
      <w:r w:rsidRPr="00F47564">
        <w:t>como a nivel catalán de regular los arrendamientos de temporada y de habitaciones (más intrusivo el catalán) puede provocar un efecto similar al que ya se está viendo con el control de rentas, al tiempo que el Anteproyecto que regula el contrato de alquiler en Cataluña</w:t>
      </w:r>
      <w:r w:rsidR="00BA5852" w:rsidRPr="00F47564">
        <w:rPr>
          <w:rStyle w:val="Refdenotaalpie"/>
        </w:rPr>
        <w:footnoteReference w:id="55"/>
      </w:r>
      <w:r w:rsidR="00F92592" w:rsidRPr="00F47564">
        <w:t xml:space="preserve"> </w:t>
      </w:r>
      <w:r w:rsidRPr="00F47564">
        <w:t xml:space="preserve">(en fase de audiencia </w:t>
      </w:r>
      <w:r w:rsidRPr="00F47564">
        <w:lastRenderedPageBreak/>
        <w:t xml:space="preserve">pública) es más intervencionista que la LAU de 1994, de forma que un mayor intervencionismo en las relaciones contractuales (en contra del principio de libertad civil, art. 111-6 </w:t>
      </w:r>
      <w:r w:rsidR="0032760E" w:rsidRPr="00F47564">
        <w:t>del Código Civil de Cataluña</w:t>
      </w:r>
      <w:r w:rsidRPr="00F47564">
        <w:t>) puede implicar una reducción de la oferta y un mayor incremento en el precio</w:t>
      </w:r>
      <w:r w:rsidR="00AE477B" w:rsidRPr="00F47564">
        <w:rPr>
          <w:rStyle w:val="Refdenotaalpie"/>
        </w:rPr>
        <w:footnoteReference w:id="56"/>
      </w:r>
      <w:r w:rsidR="00ED727C" w:rsidRPr="00F47564">
        <w:t>.</w:t>
      </w:r>
      <w:r w:rsidR="000D4383" w:rsidRPr="00F47564">
        <w:t xml:space="preserve"> </w:t>
      </w:r>
      <w:r w:rsidRPr="00F47564">
        <w:t>De hecho, debería volverse a la regulación de la LAU de 1994, donde el legislador intentaba encontrar un equilibrio entre los intereses de arrendadores y arrendatarios, con las modificaciones que hemos señalado.</w:t>
      </w:r>
    </w:p>
    <w:p w14:paraId="36BE4C5F" w14:textId="77777777" w:rsidR="006A6BA9" w:rsidRPr="00F47564" w:rsidRDefault="006A6BA9" w:rsidP="00F354AE">
      <w:pPr>
        <w:widowControl w:val="0"/>
        <w:spacing w:line="360" w:lineRule="auto"/>
        <w:jc w:val="both"/>
        <w:rPr>
          <w:rFonts w:ascii="Times New Roman" w:eastAsia="Times New Roman" w:hAnsi="Times New Roman" w:cs="Times New Roman"/>
          <w:kern w:val="0"/>
          <w:sz w:val="22"/>
          <w:szCs w:val="22"/>
          <w:lang w:eastAsia="es-ES_tradnl"/>
          <w14:ligatures w14:val="none"/>
        </w:rPr>
      </w:pPr>
    </w:p>
    <w:p w14:paraId="6BDBB316" w14:textId="0A6F3FEC" w:rsidR="00BD647D" w:rsidRPr="00A01F16" w:rsidRDefault="00BD647D" w:rsidP="00CA797F">
      <w:pPr>
        <w:widowControl w:val="0"/>
        <w:spacing w:line="360" w:lineRule="auto"/>
        <w:jc w:val="center"/>
        <w:rPr>
          <w:rFonts w:ascii="Times New Roman" w:eastAsia="Times New Roman" w:hAnsi="Times New Roman" w:cs="Times New Roman"/>
          <w:b/>
          <w:bCs/>
          <w:kern w:val="0"/>
          <w:sz w:val="28"/>
          <w:szCs w:val="28"/>
          <w:lang w:eastAsia="es-ES_tradnl"/>
          <w14:ligatures w14:val="none"/>
        </w:rPr>
      </w:pPr>
      <w:r w:rsidRPr="00A01F16">
        <w:rPr>
          <w:rFonts w:ascii="Times New Roman" w:eastAsia="Times New Roman" w:hAnsi="Times New Roman" w:cs="Times New Roman"/>
          <w:b/>
          <w:bCs/>
          <w:kern w:val="0"/>
          <w:sz w:val="28"/>
          <w:szCs w:val="28"/>
          <w:lang w:eastAsia="es-ES_tradnl"/>
          <w14:ligatures w14:val="none"/>
        </w:rPr>
        <w:t>Una política de cohesió</w:t>
      </w:r>
      <w:r w:rsidR="000B0DEF" w:rsidRPr="00A01F16">
        <w:rPr>
          <w:rFonts w:ascii="Times New Roman" w:eastAsia="Times New Roman" w:hAnsi="Times New Roman" w:cs="Times New Roman"/>
          <w:b/>
          <w:bCs/>
          <w:kern w:val="0"/>
          <w:sz w:val="28"/>
          <w:szCs w:val="28"/>
          <w:lang w:eastAsia="es-ES_tradnl"/>
          <w14:ligatures w14:val="none"/>
        </w:rPr>
        <w:t>n</w:t>
      </w:r>
      <w:r w:rsidRPr="00A01F16">
        <w:rPr>
          <w:rFonts w:ascii="Times New Roman" w:eastAsia="Times New Roman" w:hAnsi="Times New Roman" w:cs="Times New Roman"/>
          <w:b/>
          <w:bCs/>
          <w:kern w:val="0"/>
          <w:sz w:val="28"/>
          <w:szCs w:val="28"/>
          <w:lang w:eastAsia="es-ES_tradnl"/>
          <w14:ligatures w14:val="none"/>
        </w:rPr>
        <w:t xml:space="preserve"> territorial</w:t>
      </w:r>
    </w:p>
    <w:p w14:paraId="6A042F71" w14:textId="77777777" w:rsidR="00F354AE" w:rsidRPr="00F47564" w:rsidRDefault="00F354AE" w:rsidP="00F354AE">
      <w:pPr>
        <w:widowControl w:val="0"/>
        <w:spacing w:line="360" w:lineRule="auto"/>
        <w:ind w:firstLine="708"/>
        <w:jc w:val="both"/>
        <w:rPr>
          <w:rFonts w:ascii="Times New Roman" w:eastAsia="Times New Roman" w:hAnsi="Times New Roman" w:cs="Times New Roman"/>
          <w:kern w:val="0"/>
          <w:sz w:val="22"/>
          <w:szCs w:val="22"/>
          <w:lang w:eastAsia="es-ES_tradnl"/>
          <w14:ligatures w14:val="none"/>
        </w:rPr>
      </w:pPr>
    </w:p>
    <w:p w14:paraId="7398F646" w14:textId="482E3BFB" w:rsidR="00014A2A" w:rsidRPr="00F47564" w:rsidRDefault="00BA5349" w:rsidP="00CA797F">
      <w:pPr>
        <w:widowControl w:val="0"/>
        <w:spacing w:line="360" w:lineRule="auto"/>
        <w:ind w:firstLine="284"/>
        <w:jc w:val="both"/>
        <w:rPr>
          <w:rFonts w:ascii="Times New Roman" w:eastAsia="Times New Roman" w:hAnsi="Times New Roman" w:cs="Times New Roman"/>
          <w:kern w:val="0"/>
          <w:lang w:eastAsia="es-ES_tradnl"/>
          <w14:ligatures w14:val="none"/>
        </w:rPr>
      </w:pPr>
      <w:r w:rsidRPr="00F47564">
        <w:rPr>
          <w:rFonts w:ascii="Times New Roman" w:eastAsia="Times New Roman" w:hAnsi="Times New Roman" w:cs="Times New Roman"/>
          <w:kern w:val="0"/>
          <w:lang w:eastAsia="es-ES_tradnl"/>
          <w14:ligatures w14:val="none"/>
        </w:rPr>
        <w:t xml:space="preserve">Según </w:t>
      </w:r>
      <w:r w:rsidR="004F2494" w:rsidRPr="00F47564">
        <w:rPr>
          <w:rFonts w:ascii="Times New Roman" w:eastAsia="Times New Roman" w:hAnsi="Times New Roman" w:cs="Times New Roman"/>
          <w:kern w:val="0"/>
          <w:lang w:eastAsia="es-ES_tradnl"/>
          <w14:ligatures w14:val="none"/>
        </w:rPr>
        <w:t>el informe “España 2050”, en 1950, el 50% de la población española vivía en ciudades; hoy lo hace el 80%, una situación propiciada por diversos factores, como el dinamismo económico, el acceso a infraestructuras de transporte o la ubicación geográfica (por ejemplo, cercanía a la costa o pertenencia a entornos metropolitanos de mayores urbes).</w:t>
      </w:r>
      <w:r w:rsidR="0032760E" w:rsidRPr="00F47564">
        <w:rPr>
          <w:rFonts w:ascii="Times New Roman" w:eastAsia="Times New Roman" w:hAnsi="Times New Roman" w:cs="Times New Roman"/>
          <w:kern w:val="0"/>
          <w:lang w:eastAsia="es-ES_tradnl"/>
          <w14:ligatures w14:val="none"/>
        </w:rPr>
        <w:t xml:space="preserve"> </w:t>
      </w:r>
      <w:r w:rsidR="004F2494" w:rsidRPr="00F47564">
        <w:rPr>
          <w:rFonts w:ascii="Times New Roman" w:eastAsia="Times New Roman" w:hAnsi="Times New Roman" w:cs="Times New Roman"/>
          <w:kern w:val="0"/>
          <w:lang w:eastAsia="es-ES_tradnl"/>
          <w14:ligatures w14:val="none"/>
        </w:rPr>
        <w:t xml:space="preserve">Se estima que, para 2050, el 88% de nuestra población vivirá en ciudades y que la España rural perderá casi la mitad de sus habitantes. </w:t>
      </w:r>
      <w:r w:rsidR="00014A2A" w:rsidRPr="00F47564">
        <w:rPr>
          <w:rFonts w:ascii="Times New Roman" w:eastAsia="Times New Roman" w:hAnsi="Times New Roman" w:cs="Times New Roman"/>
          <w:kern w:val="0"/>
          <w:lang w:eastAsia="es-ES_tradnl"/>
          <w14:ligatures w14:val="none"/>
        </w:rPr>
        <w:t xml:space="preserve">La Figura </w:t>
      </w:r>
      <w:r w:rsidR="00581621" w:rsidRPr="00F47564">
        <w:rPr>
          <w:rFonts w:ascii="Times New Roman" w:eastAsia="Times New Roman" w:hAnsi="Times New Roman" w:cs="Times New Roman"/>
          <w:kern w:val="0"/>
          <w:lang w:eastAsia="es-ES_tradnl"/>
          <w14:ligatures w14:val="none"/>
        </w:rPr>
        <w:t>5</w:t>
      </w:r>
      <w:r w:rsidR="00014A2A" w:rsidRPr="00F47564">
        <w:rPr>
          <w:rFonts w:ascii="Times New Roman" w:eastAsia="Times New Roman" w:hAnsi="Times New Roman" w:cs="Times New Roman"/>
          <w:kern w:val="0"/>
          <w:lang w:eastAsia="es-ES_tradnl"/>
          <w14:ligatures w14:val="none"/>
        </w:rPr>
        <w:t xml:space="preserve">muestra cómo </w:t>
      </w:r>
      <w:r w:rsidR="00E01F12" w:rsidRPr="00F47564">
        <w:rPr>
          <w:rFonts w:ascii="Times New Roman" w:eastAsia="Times New Roman" w:hAnsi="Times New Roman" w:cs="Times New Roman"/>
          <w:kern w:val="0"/>
          <w:lang w:eastAsia="es-ES_tradnl"/>
          <w14:ligatures w14:val="none"/>
        </w:rPr>
        <w:t>las zonas españolas con mayor</w:t>
      </w:r>
      <w:r w:rsidR="00014A2A" w:rsidRPr="00F47564">
        <w:rPr>
          <w:rFonts w:ascii="Times New Roman" w:eastAsia="Times New Roman" w:hAnsi="Times New Roman" w:cs="Times New Roman"/>
          <w:kern w:val="0"/>
          <w:lang w:eastAsia="es-ES_tradnl"/>
          <w14:ligatures w14:val="none"/>
        </w:rPr>
        <w:t xml:space="preserve"> dinamismo demográfico </w:t>
      </w:r>
      <w:r w:rsidR="00E01F12" w:rsidRPr="00F47564">
        <w:rPr>
          <w:rFonts w:ascii="Times New Roman" w:eastAsia="Times New Roman" w:hAnsi="Times New Roman" w:cs="Times New Roman"/>
          <w:kern w:val="0"/>
          <w:lang w:eastAsia="es-ES_tradnl"/>
          <w14:ligatures w14:val="none"/>
        </w:rPr>
        <w:t>y económico tienen la mayor escasez de oferta de vivienda.</w:t>
      </w:r>
    </w:p>
    <w:p w14:paraId="501892C5" w14:textId="13542567" w:rsidR="00014A2A" w:rsidRPr="00F47564" w:rsidRDefault="00CF4FED" w:rsidP="00CA797F">
      <w:pPr>
        <w:widowControl w:val="0"/>
        <w:spacing w:line="360" w:lineRule="auto"/>
        <w:jc w:val="center"/>
        <w:rPr>
          <w:rFonts w:ascii="Times New Roman" w:eastAsia="Times New Roman" w:hAnsi="Times New Roman" w:cs="Times New Roman"/>
          <w:kern w:val="0"/>
          <w:lang w:eastAsia="es-ES_tradnl"/>
          <w14:ligatures w14:val="none"/>
        </w:rPr>
      </w:pPr>
      <w:r w:rsidRPr="00A01F16">
        <w:rPr>
          <w:rFonts w:ascii="Times New Roman" w:eastAsia="Times New Roman" w:hAnsi="Times New Roman" w:cs="Times New Roman"/>
          <w:b/>
          <w:bCs/>
          <w:noProof/>
          <w:kern w:val="0"/>
          <w:sz w:val="22"/>
          <w:szCs w:val="22"/>
          <w:lang w:eastAsia="es-ES_tradnl"/>
          <w14:ligatures w14:val="none"/>
        </w:rPr>
        <w:drawing>
          <wp:anchor distT="0" distB="0" distL="114300" distR="114300" simplePos="0" relativeHeight="251659264" behindDoc="0" locked="0" layoutInCell="1" allowOverlap="1" wp14:anchorId="3E4F2652" wp14:editId="0506CB3B">
            <wp:simplePos x="0" y="0"/>
            <wp:positionH relativeFrom="column">
              <wp:posOffset>450215</wp:posOffset>
            </wp:positionH>
            <wp:positionV relativeFrom="paragraph">
              <wp:posOffset>292100</wp:posOffset>
            </wp:positionV>
            <wp:extent cx="4479290" cy="2560320"/>
            <wp:effectExtent l="0" t="0" r="3810" b="5080"/>
            <wp:wrapSquare wrapText="bothSides"/>
            <wp:docPr id="7" name="Imagen 6" descr="Gráfico&#10;&#10;El contenido generado por IA puede ser incorrecto.">
              <a:extLst xmlns:a="http://schemas.openxmlformats.org/drawingml/2006/main">
                <a:ext uri="{FF2B5EF4-FFF2-40B4-BE49-F238E27FC236}">
                  <a16:creationId xmlns:a16="http://schemas.microsoft.com/office/drawing/2014/main" id="{6241053C-251F-AED5-242A-62A5A3FE2E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Gráfico&#10;&#10;El contenido generado por IA puede ser incorrecto.">
                      <a:extLst>
                        <a:ext uri="{FF2B5EF4-FFF2-40B4-BE49-F238E27FC236}">
                          <a16:creationId xmlns:a16="http://schemas.microsoft.com/office/drawing/2014/main" id="{6241053C-251F-AED5-242A-62A5A3FE2E17}"/>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b="10756"/>
                    <a:stretch/>
                  </pic:blipFill>
                  <pic:spPr bwMode="auto">
                    <a:xfrm>
                      <a:off x="0" y="0"/>
                      <a:ext cx="4479290" cy="2560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397B" w:rsidRPr="00A01F16">
        <w:rPr>
          <w:rFonts w:ascii="Times New Roman" w:hAnsi="Times New Roman" w:cs="Times New Roman"/>
          <w:b/>
          <w:bCs/>
          <w:kern w:val="0"/>
        </w:rPr>
        <w:t xml:space="preserve">Figura </w:t>
      </w:r>
      <w:r w:rsidR="00581621" w:rsidRPr="00A01F16">
        <w:rPr>
          <w:rFonts w:ascii="Times New Roman" w:hAnsi="Times New Roman" w:cs="Times New Roman"/>
          <w:b/>
          <w:bCs/>
          <w:kern w:val="0"/>
        </w:rPr>
        <w:t>5</w:t>
      </w:r>
      <w:r w:rsidR="004B397B" w:rsidRPr="00A01F16">
        <w:rPr>
          <w:rFonts w:ascii="Times New Roman" w:hAnsi="Times New Roman" w:cs="Times New Roman"/>
          <w:b/>
          <w:bCs/>
          <w:kern w:val="0"/>
        </w:rPr>
        <w:t>.</w:t>
      </w:r>
      <w:r w:rsidR="004B397B" w:rsidRPr="00F47564">
        <w:rPr>
          <w:rFonts w:ascii="Times New Roman" w:hAnsi="Times New Roman" w:cs="Times New Roman"/>
          <w:kern w:val="0"/>
        </w:rPr>
        <w:t xml:space="preserve"> Dinamismo demográfico y escasez de vivienda</w:t>
      </w:r>
    </w:p>
    <w:p w14:paraId="60361183" w14:textId="6D0605B8" w:rsidR="00AF4253" w:rsidRPr="00F47564" w:rsidRDefault="004B397B" w:rsidP="00A01F16">
      <w:pPr>
        <w:widowControl w:val="0"/>
        <w:spacing w:line="360" w:lineRule="auto"/>
        <w:jc w:val="center"/>
        <w:rPr>
          <w:rFonts w:ascii="Times New Roman" w:hAnsi="Times New Roman" w:cs="Times New Roman"/>
          <w:kern w:val="0"/>
        </w:rPr>
      </w:pPr>
      <w:r w:rsidRPr="00F47564">
        <w:rPr>
          <w:rFonts w:ascii="Times New Roman" w:hAnsi="Times New Roman" w:cs="Times New Roman"/>
          <w:kern w:val="0"/>
        </w:rPr>
        <w:t>Fuente</w:t>
      </w:r>
      <w:r w:rsidR="001A3D21" w:rsidRPr="00F47564">
        <w:rPr>
          <w:rFonts w:ascii="Times New Roman" w:hAnsi="Times New Roman" w:cs="Times New Roman"/>
          <w:kern w:val="0"/>
        </w:rPr>
        <w:t xml:space="preserve">. </w:t>
      </w:r>
      <w:proofErr w:type="spellStart"/>
      <w:r w:rsidR="00AF4253" w:rsidRPr="00F47564">
        <w:rPr>
          <w:rFonts w:ascii="Times New Roman" w:hAnsi="Times New Roman" w:cs="Times New Roman"/>
          <w:kern w:val="0"/>
        </w:rPr>
        <w:t>Caixabank</w:t>
      </w:r>
      <w:proofErr w:type="spellEnd"/>
      <w:r w:rsidR="00AF4253" w:rsidRPr="00F47564">
        <w:rPr>
          <w:rFonts w:ascii="Times New Roman" w:hAnsi="Times New Roman" w:cs="Times New Roman"/>
          <w:kern w:val="0"/>
        </w:rPr>
        <w:t xml:space="preserve"> </w:t>
      </w:r>
      <w:proofErr w:type="spellStart"/>
      <w:r w:rsidR="00AF4253" w:rsidRPr="00F47564">
        <w:rPr>
          <w:rFonts w:ascii="Times New Roman" w:hAnsi="Times New Roman" w:cs="Times New Roman"/>
          <w:kern w:val="0"/>
        </w:rPr>
        <w:t>Research</w:t>
      </w:r>
      <w:proofErr w:type="spellEnd"/>
      <w:r w:rsidR="00AF4253" w:rsidRPr="00F47564">
        <w:rPr>
          <w:rStyle w:val="Refdenotaalpie"/>
          <w:rFonts w:ascii="Times New Roman" w:hAnsi="Times New Roman" w:cs="Times New Roman"/>
          <w:kern w:val="0"/>
        </w:rPr>
        <w:footnoteReference w:id="57"/>
      </w:r>
    </w:p>
    <w:p w14:paraId="189F0601" w14:textId="77777777" w:rsidR="00AF4253" w:rsidRPr="00F47564" w:rsidRDefault="00AF4253" w:rsidP="00F354AE">
      <w:pPr>
        <w:widowControl w:val="0"/>
        <w:spacing w:line="360" w:lineRule="auto"/>
        <w:ind w:firstLine="708"/>
        <w:jc w:val="both"/>
        <w:rPr>
          <w:rFonts w:ascii="Times New Roman" w:hAnsi="Times New Roman" w:cs="Times New Roman"/>
          <w:kern w:val="0"/>
          <w:sz w:val="20"/>
          <w:szCs w:val="20"/>
        </w:rPr>
      </w:pPr>
    </w:p>
    <w:p w14:paraId="6EDE8875" w14:textId="6F2FD22D" w:rsidR="003A72E3" w:rsidRPr="00F47564" w:rsidRDefault="004F2494" w:rsidP="00A01F16">
      <w:pPr>
        <w:pStyle w:val="paraOJS"/>
        <w:rPr>
          <w:lang w:eastAsia="es-ES_tradnl"/>
        </w:rPr>
      </w:pPr>
      <w:r w:rsidRPr="00F47564">
        <w:rPr>
          <w:lang w:eastAsia="es-ES_tradnl"/>
        </w:rPr>
        <w:t xml:space="preserve">Sin embargo, esta situación no es exclusiva de España, pues en Europa hay una </w:t>
      </w:r>
      <w:r w:rsidRPr="00F47564">
        <w:rPr>
          <w:lang w:eastAsia="es-ES_tradnl"/>
        </w:rPr>
        <w:lastRenderedPageBreak/>
        <w:t>concentración de la población y de las oportunidades laborales en el eje industrial conocido como “Big Banana”</w:t>
      </w:r>
      <w:r w:rsidR="00D6326F" w:rsidRPr="00F47564">
        <w:rPr>
          <w:rStyle w:val="Refdenotaalpie"/>
          <w:rFonts w:eastAsia="Times New Roman"/>
          <w:sz w:val="22"/>
          <w:szCs w:val="22"/>
          <w:lang w:eastAsia="es-ES_tradnl"/>
          <w14:ligatures w14:val="none"/>
        </w:rPr>
        <w:footnoteReference w:id="58"/>
      </w:r>
      <w:r w:rsidR="00817BE1" w:rsidRPr="00F47564">
        <w:rPr>
          <w:lang w:eastAsia="es-ES_tradnl"/>
        </w:rPr>
        <w:t xml:space="preserve">, </w:t>
      </w:r>
      <w:r w:rsidRPr="00F47564">
        <w:rPr>
          <w:lang w:eastAsia="es-ES_tradnl"/>
        </w:rPr>
        <w:t>y que abarca desde Inglaterra hasta el norte de Italia, pasando por Bélgica, Países Bajos o la cuenca del Rin alemana.</w:t>
      </w:r>
    </w:p>
    <w:p w14:paraId="54029CAB" w14:textId="2BF917A6" w:rsidR="00FA62CE" w:rsidRPr="00F47564" w:rsidRDefault="004F2494" w:rsidP="00A01F16">
      <w:pPr>
        <w:pStyle w:val="paraOJS"/>
        <w:rPr>
          <w:lang w:eastAsia="es-ES_tradnl"/>
        </w:rPr>
      </w:pPr>
      <w:r w:rsidRPr="00F47564">
        <w:rPr>
          <w:lang w:eastAsia="es-ES_tradnl"/>
        </w:rPr>
        <w:t>Por tanto, otra medida estructural es fomentar una política de cohesión territorial, es decir, se debe</w:t>
      </w:r>
      <w:r w:rsidR="00725AA6" w:rsidRPr="00F47564">
        <w:rPr>
          <w:lang w:eastAsia="es-ES_tradnl"/>
        </w:rPr>
        <w:t>n</w:t>
      </w:r>
      <w:r w:rsidRPr="00F47564">
        <w:rPr>
          <w:lang w:eastAsia="es-ES_tradnl"/>
        </w:rPr>
        <w:t xml:space="preserve"> </w:t>
      </w:r>
      <w:r w:rsidR="00725AA6" w:rsidRPr="00F47564">
        <w:rPr>
          <w:lang w:eastAsia="es-ES_tradnl"/>
        </w:rPr>
        <w:t xml:space="preserve">generar </w:t>
      </w:r>
      <w:r w:rsidRPr="00F47564">
        <w:rPr>
          <w:lang w:eastAsia="es-ES_tradnl"/>
        </w:rPr>
        <w:t xml:space="preserve">oportunidades </w:t>
      </w:r>
      <w:r w:rsidR="00725AA6" w:rsidRPr="00F47564">
        <w:rPr>
          <w:lang w:eastAsia="es-ES_tradnl"/>
        </w:rPr>
        <w:t>para</w:t>
      </w:r>
      <w:r w:rsidRPr="00F47564">
        <w:rPr>
          <w:lang w:eastAsia="es-ES_tradnl"/>
        </w:rPr>
        <w:t xml:space="preserve"> los más jóvenes y familias fuera de las grandes ciudades. En Cataluña, por ejemplo, es necesario crear oportunidades más allá de Barcelona, que se ha posicionado a escala internacional y atrae talento de todas partes. Sin embargo, su crecimiento ha comportado una depredación de los recursos humanos y de infraestructuras en detrimento del resto del territorio. El informe “La metrópolis de Barcelona. Invertir, trabajar y vivir” (2023)</w:t>
      </w:r>
      <w:r w:rsidR="00B17DF6" w:rsidRPr="00F47564">
        <w:rPr>
          <w:rStyle w:val="Refdenotaalpie"/>
          <w:rFonts w:eastAsia="Times New Roman"/>
          <w:sz w:val="22"/>
          <w:szCs w:val="22"/>
          <w:lang w:eastAsia="es-ES_tradnl"/>
          <w14:ligatures w14:val="none"/>
        </w:rPr>
        <w:footnoteReference w:id="59"/>
      </w:r>
      <w:r w:rsidR="0016094F" w:rsidRPr="00F47564">
        <w:rPr>
          <w:lang w:eastAsia="es-ES_tradnl"/>
        </w:rPr>
        <w:t xml:space="preserve"> </w:t>
      </w:r>
      <w:r w:rsidRPr="00F47564">
        <w:rPr>
          <w:lang w:eastAsia="es-ES_tradnl"/>
        </w:rPr>
        <w:t xml:space="preserve">resalta que más de la mitad del PIB de Cataluña se concentra en el Área Metropolitana de Barcelona, que el PIB per cápita es 6.000 euros superior a la media de Cataluña y que más de la mitad de los trabajos se ubican en esta zona. Es paradigmática en este sentido el cambio de opinión de algunos gurús, como Richard Florida, </w:t>
      </w:r>
      <w:r w:rsidR="00B86C9E" w:rsidRPr="00F47564">
        <w:rPr>
          <w:lang w:eastAsia="es-ES_tradnl"/>
        </w:rPr>
        <w:t>quien en</w:t>
      </w:r>
      <w:r w:rsidR="0032760E" w:rsidRPr="00F47564">
        <w:rPr>
          <w:lang w:eastAsia="es-ES_tradnl"/>
        </w:rPr>
        <w:t xml:space="preserve"> </w:t>
      </w:r>
      <w:r w:rsidRPr="00F47564">
        <w:rPr>
          <w:lang w:eastAsia="es-ES_tradnl"/>
        </w:rPr>
        <w:t xml:space="preserve">2002 </w:t>
      </w:r>
      <w:r w:rsidR="00B86C9E" w:rsidRPr="00F47564">
        <w:rPr>
          <w:lang w:eastAsia="es-ES_tradnl"/>
        </w:rPr>
        <w:t>defendía la creación de</w:t>
      </w:r>
      <w:r w:rsidRPr="00F47564">
        <w:rPr>
          <w:lang w:eastAsia="es-ES_tradnl"/>
        </w:rPr>
        <w:t xml:space="preserve"> ciudades creativas, pero que </w:t>
      </w:r>
      <w:r w:rsidR="005E1EE2" w:rsidRPr="00F47564">
        <w:rPr>
          <w:lang w:eastAsia="es-ES_tradnl"/>
        </w:rPr>
        <w:t xml:space="preserve">años después </w:t>
      </w:r>
      <w:r w:rsidRPr="00F47564">
        <w:rPr>
          <w:lang w:eastAsia="es-ES_tradnl"/>
        </w:rPr>
        <w:t>reconoc</w:t>
      </w:r>
      <w:r w:rsidR="005E1EE2" w:rsidRPr="00F47564">
        <w:rPr>
          <w:lang w:eastAsia="es-ES_tradnl"/>
        </w:rPr>
        <w:t>ió</w:t>
      </w:r>
      <w:r w:rsidRPr="00F47564">
        <w:rPr>
          <w:lang w:eastAsia="es-ES_tradnl"/>
        </w:rPr>
        <w:t xml:space="preserve"> </w:t>
      </w:r>
      <w:r w:rsidR="005E1EE2" w:rsidRPr="00F47564">
        <w:rPr>
          <w:lang w:eastAsia="es-ES_tradnl"/>
        </w:rPr>
        <w:t>su error</w:t>
      </w:r>
      <w:r w:rsidR="00AE275D" w:rsidRPr="00F47564">
        <w:rPr>
          <w:rStyle w:val="Refdenotaalpie"/>
          <w:rFonts w:eastAsia="Times New Roman"/>
          <w:sz w:val="22"/>
          <w:szCs w:val="22"/>
          <w:lang w:eastAsia="es-ES_tradnl"/>
          <w14:ligatures w14:val="none"/>
        </w:rPr>
        <w:footnoteReference w:id="60"/>
      </w:r>
      <w:r w:rsidR="00AE275D" w:rsidRPr="00F47564">
        <w:rPr>
          <w:lang w:eastAsia="es-ES_tradnl"/>
        </w:rPr>
        <w:t xml:space="preserve">. </w:t>
      </w:r>
      <w:r w:rsidRPr="00F47564">
        <w:rPr>
          <w:lang w:eastAsia="es-ES_tradnl"/>
        </w:rPr>
        <w:t xml:space="preserve">En general, la generación de oportunidades se limita a las grandes urbes y, por este motivo, </w:t>
      </w:r>
      <w:r w:rsidR="0032760E" w:rsidRPr="00F47564">
        <w:rPr>
          <w:lang w:eastAsia="es-ES_tradnl"/>
        </w:rPr>
        <w:t>los jóvenes</w:t>
      </w:r>
      <w:r w:rsidRPr="00F47564">
        <w:rPr>
          <w:lang w:eastAsia="es-ES_tradnl"/>
        </w:rPr>
        <w:t xml:space="preserve"> se ve</w:t>
      </w:r>
      <w:r w:rsidR="0032760E" w:rsidRPr="00F47564">
        <w:rPr>
          <w:lang w:eastAsia="es-ES_tradnl"/>
        </w:rPr>
        <w:t>n</w:t>
      </w:r>
      <w:r w:rsidRPr="00F47564">
        <w:rPr>
          <w:lang w:eastAsia="es-ES_tradnl"/>
        </w:rPr>
        <w:t xml:space="preserve"> </w:t>
      </w:r>
      <w:r w:rsidR="00BA5349" w:rsidRPr="00F47564">
        <w:rPr>
          <w:lang w:eastAsia="es-ES_tradnl"/>
        </w:rPr>
        <w:t xml:space="preserve">obligados </w:t>
      </w:r>
      <w:r w:rsidRPr="00F47564">
        <w:rPr>
          <w:lang w:eastAsia="es-ES_tradnl"/>
        </w:rPr>
        <w:t xml:space="preserve">a ir </w:t>
      </w:r>
      <w:r w:rsidR="0032760E" w:rsidRPr="00F47564">
        <w:rPr>
          <w:lang w:eastAsia="es-ES_tradnl"/>
        </w:rPr>
        <w:t>par</w:t>
      </w:r>
      <w:r w:rsidRPr="00F47564">
        <w:rPr>
          <w:lang w:eastAsia="es-ES_tradnl"/>
        </w:rPr>
        <w:t>a trabajar, lo que conlleva problemas de asequibilidad</w:t>
      </w:r>
      <w:r w:rsidR="002A3368" w:rsidRPr="00F47564">
        <w:rPr>
          <w:lang w:eastAsia="es-ES_tradnl"/>
        </w:rPr>
        <w:t>.</w:t>
      </w:r>
      <w:r w:rsidR="00656A52" w:rsidRPr="00F47564">
        <w:rPr>
          <w:lang w:eastAsia="es-ES_tradnl"/>
        </w:rPr>
        <w:t xml:space="preserve"> </w:t>
      </w:r>
    </w:p>
    <w:p w14:paraId="06247137" w14:textId="7807C6D6" w:rsidR="004356FE" w:rsidRPr="00F47564" w:rsidRDefault="004F2494" w:rsidP="00A01F16">
      <w:pPr>
        <w:pStyle w:val="paraOJS"/>
        <w:rPr>
          <w:rFonts w:eastAsia="Times New Roman"/>
          <w:sz w:val="22"/>
          <w:szCs w:val="22"/>
          <w:lang w:eastAsia="es-ES_tradnl"/>
          <w14:ligatures w14:val="none"/>
        </w:rPr>
      </w:pPr>
      <w:r w:rsidRPr="00F47564">
        <w:rPr>
          <w:rFonts w:eastAsia="Times New Roman"/>
          <w:sz w:val="22"/>
          <w:szCs w:val="22"/>
          <w:lang w:eastAsia="es-ES_tradnl"/>
          <w14:ligatures w14:val="none"/>
        </w:rPr>
        <w:t>El informe “España 2050” propone, entre otras medidas, mejorar y aumentar las oportunidades económicas y laborales de los municipios más pequeños, así como mejorar el acceso a servicios, tanto públicos como privados. Sin embargo, esta política debe ser multinivel, pues es a nivel local -con el apoyo del resto de Administraciones- donde se deben impulsar las políticas que puedan ofrecer oportunidades económicas a los actuales y futuros habitantes de los municipios.</w:t>
      </w:r>
    </w:p>
    <w:p w14:paraId="79584536" w14:textId="77777777" w:rsidR="00C45079" w:rsidRPr="00F47564" w:rsidRDefault="00C45079" w:rsidP="00CA797F">
      <w:pPr>
        <w:widowControl w:val="0"/>
        <w:ind w:firstLine="708"/>
        <w:jc w:val="center"/>
        <w:rPr>
          <w:rFonts w:ascii="Times New Roman" w:eastAsia="Times New Roman" w:hAnsi="Times New Roman" w:cs="Times New Roman"/>
          <w:kern w:val="0"/>
          <w:sz w:val="22"/>
          <w:szCs w:val="22"/>
          <w:lang w:eastAsia="es-ES_tradnl"/>
          <w14:ligatures w14:val="none"/>
        </w:rPr>
      </w:pPr>
    </w:p>
    <w:p w14:paraId="25BC82F0" w14:textId="0F4D96AE" w:rsidR="00963253" w:rsidRPr="00A01F16" w:rsidRDefault="00C45079" w:rsidP="00CA797F">
      <w:pPr>
        <w:widowControl w:val="0"/>
        <w:jc w:val="center"/>
        <w:rPr>
          <w:rFonts w:ascii="Times New Roman" w:eastAsia="Times New Roman" w:hAnsi="Times New Roman" w:cs="Times New Roman"/>
          <w:b/>
          <w:bCs/>
          <w:kern w:val="0"/>
          <w:sz w:val="32"/>
          <w:szCs w:val="32"/>
          <w:lang w:eastAsia="es-ES_tradnl"/>
          <w14:ligatures w14:val="none"/>
        </w:rPr>
      </w:pPr>
      <w:r w:rsidRPr="00A01F16">
        <w:rPr>
          <w:rFonts w:ascii="Times New Roman" w:eastAsia="Times New Roman" w:hAnsi="Times New Roman" w:cs="Times New Roman"/>
          <w:b/>
          <w:bCs/>
          <w:kern w:val="0"/>
          <w:sz w:val="32"/>
          <w:szCs w:val="32"/>
          <w:lang w:eastAsia="es-ES_tradnl"/>
          <w14:ligatures w14:val="none"/>
        </w:rPr>
        <w:t>C</w:t>
      </w:r>
      <w:r w:rsidR="00963253" w:rsidRPr="00A01F16">
        <w:rPr>
          <w:rFonts w:ascii="Times New Roman" w:eastAsia="Times New Roman" w:hAnsi="Times New Roman" w:cs="Times New Roman"/>
          <w:b/>
          <w:bCs/>
          <w:kern w:val="0"/>
          <w:sz w:val="32"/>
          <w:szCs w:val="32"/>
          <w:lang w:eastAsia="es-ES_tradnl"/>
          <w14:ligatures w14:val="none"/>
        </w:rPr>
        <w:t>onclusión</w:t>
      </w:r>
    </w:p>
    <w:p w14:paraId="10C07E63" w14:textId="77777777" w:rsidR="00F354AE" w:rsidRPr="00F47564" w:rsidRDefault="00F354AE" w:rsidP="00F354AE">
      <w:pPr>
        <w:widowControl w:val="0"/>
        <w:spacing w:line="360" w:lineRule="auto"/>
        <w:ind w:firstLine="709"/>
        <w:jc w:val="both"/>
        <w:rPr>
          <w:rFonts w:ascii="Times New Roman" w:eastAsia="Times New Roman" w:hAnsi="Times New Roman" w:cs="Times New Roman"/>
          <w:kern w:val="0"/>
          <w:sz w:val="22"/>
          <w:szCs w:val="22"/>
          <w:lang w:eastAsia="es-ES_tradnl"/>
          <w14:ligatures w14:val="none"/>
        </w:rPr>
      </w:pPr>
    </w:p>
    <w:p w14:paraId="7B1DA52F" w14:textId="701BD18D" w:rsidR="00F354AE" w:rsidRPr="00F47564" w:rsidRDefault="00963253" w:rsidP="00A01F16">
      <w:pPr>
        <w:pStyle w:val="paraOJS"/>
        <w:rPr>
          <w:lang w:eastAsia="es-ES_tradnl"/>
        </w:rPr>
      </w:pPr>
      <w:r w:rsidRPr="00F47564">
        <w:rPr>
          <w:lang w:eastAsia="es-ES_tradnl"/>
        </w:rPr>
        <w:t xml:space="preserve">La experiencia española muestra el progresivo deterioro del acceso a la vivienda y </w:t>
      </w:r>
      <w:r w:rsidR="00C50524" w:rsidRPr="00F47564">
        <w:rPr>
          <w:lang w:eastAsia="es-ES_tradnl"/>
        </w:rPr>
        <w:t>el fracaso de las políticas públicas que no están basadas en la evidencia científica. Ello nos conduce</w:t>
      </w:r>
      <w:r w:rsidR="00650E86" w:rsidRPr="00F47564">
        <w:rPr>
          <w:lang w:eastAsia="es-ES_tradnl"/>
        </w:rPr>
        <w:t xml:space="preserve"> a</w:t>
      </w:r>
      <w:r w:rsidR="00C50524" w:rsidRPr="00F47564">
        <w:rPr>
          <w:lang w:eastAsia="es-ES_tradnl"/>
        </w:rPr>
        <w:t xml:space="preserve"> los siguientes interrogantes: </w:t>
      </w:r>
      <w:r w:rsidRPr="00F47564">
        <w:rPr>
          <w:lang w:eastAsia="es-ES_tradnl"/>
        </w:rPr>
        <w:t>¿debemos apostar por ser una sociedad de ricos propietarios</w:t>
      </w:r>
      <w:r w:rsidR="00650E86" w:rsidRPr="00F47564">
        <w:rPr>
          <w:lang w:eastAsia="es-ES_tradnl"/>
        </w:rPr>
        <w:t>,</w:t>
      </w:r>
      <w:r w:rsidRPr="00F47564">
        <w:rPr>
          <w:lang w:eastAsia="es-ES_tradnl"/>
        </w:rPr>
        <w:t xml:space="preserve"> pobres inquilinos u okupas y/o personas viviendo en asentamientos informales? ¿Debemos resignarnos a que los más vulnerables y precarios tengan que </w:t>
      </w:r>
      <w:r w:rsidRPr="00F47564">
        <w:rPr>
          <w:lang w:eastAsia="es-ES_tradnl"/>
        </w:rPr>
        <w:lastRenderedPageBreak/>
        <w:t xml:space="preserve">renunciar a ahorrar recursos para financiar gastos potenciales en el futuro y esenciales como la salud, la educación o el ocio? ¿Debemos aceptar un incremento potencial del sinhogarismo oculto y su normalización </w:t>
      </w:r>
      <w:r w:rsidR="00402DB7" w:rsidRPr="00F47564">
        <w:rPr>
          <w:lang w:eastAsia="es-ES_tradnl"/>
        </w:rPr>
        <w:t>legal</w:t>
      </w:r>
      <w:r w:rsidRPr="00F47564">
        <w:rPr>
          <w:lang w:eastAsia="es-ES_tradnl"/>
        </w:rPr>
        <w:t xml:space="preserve">? ¿Debemos renunciar a ser propietarios de una vivienda para pasar a ser menos libres y más dependientes del sector público o privado? Si nos dicen que la vivienda ya no es un bien para invertir, o que "no serás propietario y serás feliz" </w:t>
      </w:r>
      <w:r w:rsidR="00360DB0" w:rsidRPr="00F47564">
        <w:rPr>
          <w:lang w:eastAsia="es-ES_tradnl"/>
        </w:rPr>
        <w:t>(</w:t>
      </w:r>
      <w:r w:rsidRPr="00F47564">
        <w:rPr>
          <w:lang w:eastAsia="es-ES_tradnl"/>
        </w:rPr>
        <w:t>Foro de Davos</w:t>
      </w:r>
      <w:r w:rsidR="00360DB0" w:rsidRPr="00F47564">
        <w:rPr>
          <w:lang w:eastAsia="es-ES_tradnl"/>
        </w:rPr>
        <w:t>)</w:t>
      </w:r>
      <w:r w:rsidRPr="00F47564">
        <w:rPr>
          <w:lang w:eastAsia="es-ES_tradnl"/>
        </w:rPr>
        <w:t xml:space="preserve">, ¿qué otro bien puede cumplir su función dual de derecho humano y activo financiero? ¿Debemos seguir las políticas de vivienda del norte de Europa que se han mostrado ineficientes? </w:t>
      </w:r>
    </w:p>
    <w:p w14:paraId="59B0CEA1" w14:textId="2158CD7C" w:rsidR="00963253" w:rsidRPr="00F47564" w:rsidRDefault="00EF6A90" w:rsidP="00A01F16">
      <w:pPr>
        <w:pStyle w:val="paraOJS"/>
        <w:rPr>
          <w:lang w:eastAsia="es-ES_tradnl"/>
        </w:rPr>
      </w:pPr>
      <w:r w:rsidRPr="00F47564">
        <w:rPr>
          <w:lang w:eastAsia="es-ES_tradnl"/>
        </w:rPr>
        <w:t xml:space="preserve">Sostenemos </w:t>
      </w:r>
      <w:r w:rsidR="00243501" w:rsidRPr="00F47564">
        <w:rPr>
          <w:lang w:eastAsia="es-ES_tradnl"/>
        </w:rPr>
        <w:t xml:space="preserve">que este no es el camino </w:t>
      </w:r>
      <w:r w:rsidRPr="00F47564">
        <w:rPr>
          <w:lang w:eastAsia="es-ES_tradnl"/>
        </w:rPr>
        <w:t xml:space="preserve">a </w:t>
      </w:r>
      <w:r w:rsidR="00243501" w:rsidRPr="00F47564">
        <w:rPr>
          <w:lang w:eastAsia="es-ES_tradnl"/>
        </w:rPr>
        <w:t xml:space="preserve">seguir. </w:t>
      </w:r>
      <w:r w:rsidR="00861EAD" w:rsidRPr="00F47564">
        <w:rPr>
          <w:lang w:eastAsia="es-ES_tradnl"/>
        </w:rPr>
        <w:t xml:space="preserve">En este contexto se </w:t>
      </w:r>
      <w:r w:rsidR="00057127" w:rsidRPr="00F47564">
        <w:rPr>
          <w:lang w:eastAsia="es-ES_tradnl"/>
        </w:rPr>
        <w:t xml:space="preserve">plantean </w:t>
      </w:r>
      <w:r w:rsidR="00861EAD" w:rsidRPr="00F47564">
        <w:rPr>
          <w:lang w:eastAsia="es-ES_tradnl"/>
        </w:rPr>
        <w:t>l</w:t>
      </w:r>
      <w:r w:rsidR="00963253" w:rsidRPr="00F47564">
        <w:rPr>
          <w:lang w:eastAsia="es-ES_tradnl"/>
        </w:rPr>
        <w:t xml:space="preserve">as </w:t>
      </w:r>
      <w:r w:rsidR="00057127" w:rsidRPr="00F47564">
        <w:rPr>
          <w:lang w:eastAsia="es-ES_tradnl"/>
        </w:rPr>
        <w:t xml:space="preserve">nuevas </w:t>
      </w:r>
      <w:r w:rsidR="00963253" w:rsidRPr="00F47564">
        <w:rPr>
          <w:lang w:eastAsia="es-ES_tradnl"/>
        </w:rPr>
        <w:t>vías de acceso a la propiedad</w:t>
      </w:r>
      <w:r w:rsidR="00DF0CF6" w:rsidRPr="00F47564">
        <w:rPr>
          <w:lang w:eastAsia="es-ES_tradnl"/>
        </w:rPr>
        <w:t xml:space="preserve">, que </w:t>
      </w:r>
      <w:r w:rsidR="00963253" w:rsidRPr="00F47564">
        <w:rPr>
          <w:lang w:eastAsia="es-ES_tradnl"/>
        </w:rPr>
        <w:t>pueden ayudar a conseguir un acceso a la vivienda en propiedad más estable y sostenible</w:t>
      </w:r>
      <w:r w:rsidR="00861EAD" w:rsidRPr="00F47564">
        <w:rPr>
          <w:lang w:eastAsia="es-ES_tradnl"/>
        </w:rPr>
        <w:t xml:space="preserve"> y contribuir a la libertad e igualdad de </w:t>
      </w:r>
      <w:r w:rsidR="00DF0CF6" w:rsidRPr="00F47564">
        <w:rPr>
          <w:lang w:eastAsia="es-ES_tradnl"/>
        </w:rPr>
        <w:t>la</w:t>
      </w:r>
      <w:r w:rsidR="00861EAD" w:rsidRPr="00F47564">
        <w:rPr>
          <w:lang w:eastAsia="es-ES_tradnl"/>
        </w:rPr>
        <w:t xml:space="preserve"> sociedad (</w:t>
      </w:r>
      <w:r w:rsidR="00D13AB3" w:rsidRPr="00F47564">
        <w:rPr>
          <w:lang w:eastAsia="es-ES_tradnl"/>
        </w:rPr>
        <w:t>lograda en España a partir de la década de</w:t>
      </w:r>
      <w:r w:rsidR="00861EAD" w:rsidRPr="00F47564">
        <w:rPr>
          <w:lang w:eastAsia="es-ES_tradnl"/>
        </w:rPr>
        <w:t xml:space="preserve"> 60</w:t>
      </w:r>
      <w:r w:rsidR="00C24A65" w:rsidRPr="00F47564">
        <w:rPr>
          <w:lang w:eastAsia="es-ES_tradnl"/>
        </w:rPr>
        <w:t xml:space="preserve">, en gran parte </w:t>
      </w:r>
      <w:r w:rsidR="007206D3" w:rsidRPr="00F47564">
        <w:rPr>
          <w:lang w:eastAsia="es-ES_tradnl"/>
        </w:rPr>
        <w:t>gracias a la vivienda en propiedad)</w:t>
      </w:r>
      <w:r w:rsidR="00DF0CF6" w:rsidRPr="00F47564">
        <w:rPr>
          <w:lang w:eastAsia="es-ES_tradnl"/>
        </w:rPr>
        <w:t>, sin descuidar un</w:t>
      </w:r>
      <w:r w:rsidR="00C24A65" w:rsidRPr="00F47564">
        <w:rPr>
          <w:lang w:eastAsia="es-ES_tradnl"/>
        </w:rPr>
        <w:t xml:space="preserve">a gama funcional de formas de tenencia </w:t>
      </w:r>
      <w:r w:rsidR="00745014" w:rsidRPr="00F47564">
        <w:rPr>
          <w:lang w:eastAsia="es-ES_tradnl"/>
        </w:rPr>
        <w:t>de vivienda</w:t>
      </w:r>
      <w:r w:rsidR="00DF0CF6" w:rsidRPr="00F47564">
        <w:rPr>
          <w:lang w:eastAsia="es-ES_tradnl"/>
        </w:rPr>
        <w:t xml:space="preserve"> (desde la propiedad absoluta hasta estas tenencias intermedias, cooperativas, alquileres </w:t>
      </w:r>
      <w:r w:rsidR="00A5361B" w:rsidRPr="00F47564">
        <w:rPr>
          <w:lang w:eastAsia="es-ES_tradnl"/>
        </w:rPr>
        <w:t>y</w:t>
      </w:r>
      <w:r w:rsidR="00DF0CF6" w:rsidRPr="00F47564">
        <w:rPr>
          <w:lang w:eastAsia="es-ES_tradnl"/>
        </w:rPr>
        <w:t xml:space="preserve"> vivienda social)</w:t>
      </w:r>
      <w:r w:rsidR="00982D3E" w:rsidRPr="00F47564">
        <w:rPr>
          <w:lang w:eastAsia="es-ES_tradnl"/>
        </w:rPr>
        <w:t xml:space="preserve"> y otras medidas estructurales, como la cohesión territorial. No existen soluciones </w:t>
      </w:r>
      <w:r w:rsidR="00A5361B" w:rsidRPr="00F47564">
        <w:rPr>
          <w:lang w:eastAsia="es-ES_tradnl"/>
        </w:rPr>
        <w:t>simples para</w:t>
      </w:r>
      <w:r w:rsidR="00982D3E" w:rsidRPr="00F47564">
        <w:rPr>
          <w:lang w:eastAsia="es-ES_tradnl"/>
        </w:rPr>
        <w:t xml:space="preserve"> problemas complejos</w:t>
      </w:r>
      <w:r w:rsidR="00905D15" w:rsidRPr="00F47564">
        <w:rPr>
          <w:lang w:eastAsia="es-ES_tradnl"/>
        </w:rPr>
        <w:t>. Por ello</w:t>
      </w:r>
      <w:r w:rsidR="00982D3E" w:rsidRPr="00F47564">
        <w:rPr>
          <w:lang w:eastAsia="es-ES_tradnl"/>
        </w:rPr>
        <w:t xml:space="preserve">, a nivel local deben </w:t>
      </w:r>
      <w:r w:rsidR="00905D15" w:rsidRPr="00F47564">
        <w:rPr>
          <w:lang w:eastAsia="es-ES_tradnl"/>
        </w:rPr>
        <w:t>explorarse</w:t>
      </w:r>
      <w:r w:rsidR="00982D3E" w:rsidRPr="00F47564">
        <w:rPr>
          <w:lang w:eastAsia="es-ES_tradnl"/>
        </w:rPr>
        <w:t xml:space="preserve"> </w:t>
      </w:r>
      <w:r w:rsidR="00905D15" w:rsidRPr="00F47564">
        <w:rPr>
          <w:lang w:eastAsia="es-ES_tradnl"/>
        </w:rPr>
        <w:t xml:space="preserve">estrategias </w:t>
      </w:r>
      <w:r w:rsidR="00982D3E" w:rsidRPr="00F47564">
        <w:rPr>
          <w:lang w:eastAsia="es-ES_tradnl"/>
        </w:rPr>
        <w:t>para</w:t>
      </w:r>
      <w:r w:rsidR="006C5296" w:rsidRPr="00F47564">
        <w:rPr>
          <w:lang w:eastAsia="es-ES_tradnl"/>
        </w:rPr>
        <w:t xml:space="preserve"> </w:t>
      </w:r>
      <w:r w:rsidR="00905D15" w:rsidRPr="00F47564">
        <w:rPr>
          <w:lang w:eastAsia="es-ES_tradnl"/>
        </w:rPr>
        <w:t xml:space="preserve">optimizar </w:t>
      </w:r>
      <w:r w:rsidR="006C5296" w:rsidRPr="00F47564">
        <w:rPr>
          <w:lang w:eastAsia="es-ES_tradnl"/>
        </w:rPr>
        <w:t>lo ya construido</w:t>
      </w:r>
      <w:r w:rsidR="00905D15" w:rsidRPr="00F47564">
        <w:rPr>
          <w:lang w:eastAsia="es-ES_tradnl"/>
        </w:rPr>
        <w:t>, abordando aspectos como la</w:t>
      </w:r>
      <w:r w:rsidR="006C5296" w:rsidRPr="00F47564">
        <w:rPr>
          <w:lang w:eastAsia="es-ES_tradnl"/>
        </w:rPr>
        <w:t xml:space="preserve"> accesibilidad, </w:t>
      </w:r>
      <w:r w:rsidR="00905D15" w:rsidRPr="00F47564">
        <w:rPr>
          <w:lang w:eastAsia="es-ES_tradnl"/>
        </w:rPr>
        <w:t xml:space="preserve">las </w:t>
      </w:r>
      <w:r w:rsidR="006C5296" w:rsidRPr="00F47564">
        <w:rPr>
          <w:lang w:eastAsia="es-ES_tradnl"/>
        </w:rPr>
        <w:t>viviendas vacías</w:t>
      </w:r>
      <w:r w:rsidR="008240BD" w:rsidRPr="00F47564">
        <w:rPr>
          <w:lang w:eastAsia="es-ES_tradnl"/>
        </w:rPr>
        <w:t xml:space="preserve"> y </w:t>
      </w:r>
      <w:r w:rsidR="00905D15" w:rsidRPr="00F47564">
        <w:rPr>
          <w:lang w:eastAsia="es-ES_tradnl"/>
        </w:rPr>
        <w:t xml:space="preserve">la </w:t>
      </w:r>
      <w:r w:rsidR="008240BD" w:rsidRPr="00F47564">
        <w:rPr>
          <w:lang w:eastAsia="es-ES_tradnl"/>
        </w:rPr>
        <w:t>cohesión urbana</w:t>
      </w:r>
      <w:r w:rsidR="00353A86" w:rsidRPr="00F47564">
        <w:rPr>
          <w:lang w:eastAsia="es-ES_tradnl"/>
        </w:rPr>
        <w:t xml:space="preserve"> que contribuyan, en su conjunto, a mejorar el acceso a una vivienda digna.</w:t>
      </w:r>
    </w:p>
    <w:p w14:paraId="72925137" w14:textId="77777777" w:rsidR="006C7243" w:rsidRPr="00A01F16" w:rsidRDefault="006C7243" w:rsidP="00A01F16">
      <w:pPr>
        <w:widowControl w:val="0"/>
        <w:jc w:val="center"/>
        <w:rPr>
          <w:rFonts w:ascii="Times New Roman" w:eastAsia="Times New Roman" w:hAnsi="Times New Roman" w:cs="Times New Roman"/>
          <w:b/>
          <w:bCs/>
          <w:kern w:val="0"/>
          <w:sz w:val="32"/>
          <w:szCs w:val="32"/>
          <w:lang w:eastAsia="es-ES_tradnl"/>
          <w14:ligatures w14:val="none"/>
        </w:rPr>
      </w:pPr>
      <w:r w:rsidRPr="00A01F16">
        <w:rPr>
          <w:rFonts w:ascii="Times New Roman" w:eastAsia="Times New Roman" w:hAnsi="Times New Roman" w:cs="Times New Roman"/>
          <w:b/>
          <w:bCs/>
          <w:kern w:val="0"/>
          <w:sz w:val="32"/>
          <w:szCs w:val="32"/>
          <w:lang w:eastAsia="es-ES_tradnl"/>
          <w14:ligatures w14:val="none"/>
        </w:rPr>
        <w:t>Futuras líneas de investigación</w:t>
      </w:r>
    </w:p>
    <w:p w14:paraId="7242959A" w14:textId="77777777" w:rsidR="006C7243" w:rsidRPr="00F47564" w:rsidRDefault="006C7243" w:rsidP="006C7243">
      <w:pPr>
        <w:widowControl w:val="0"/>
        <w:jc w:val="both"/>
        <w:rPr>
          <w:rFonts w:ascii="Times New Roman" w:eastAsia="Times New Roman" w:hAnsi="Times New Roman" w:cs="Times New Roman"/>
          <w:b/>
          <w:bCs/>
          <w:kern w:val="0"/>
          <w:sz w:val="22"/>
          <w:szCs w:val="22"/>
          <w:lang w:eastAsia="es-ES_tradnl"/>
          <w14:ligatures w14:val="none"/>
        </w:rPr>
      </w:pPr>
    </w:p>
    <w:p w14:paraId="7F722110" w14:textId="77777777" w:rsidR="006C7243" w:rsidRPr="00F47564" w:rsidRDefault="006C7243" w:rsidP="00A01F16">
      <w:pPr>
        <w:pStyle w:val="paraOJS"/>
        <w:rPr>
          <w:lang w:eastAsia="es-ES_tradnl"/>
        </w:rPr>
      </w:pPr>
      <w:r w:rsidRPr="00F47564">
        <w:rPr>
          <w:lang w:eastAsia="es-ES_tradnl"/>
        </w:rPr>
        <w:t xml:space="preserve">En este contexto, se plantean nuevas vías de acceso a la propiedad propuestas, que pueden ayudar a conseguir un acceso a la vivienda en propiedad más estable y sostenible y contribuir a la libertad e igualdad de la sociedad (conseguida precisamente desde los años 60 del siglo pasado en España gracias a la vivienda en propiedad), sin descuidar un </w:t>
      </w:r>
      <w:r w:rsidRPr="00F47564">
        <w:rPr>
          <w:i/>
          <w:iCs/>
          <w:lang w:eastAsia="es-ES_tradnl"/>
        </w:rPr>
        <w:t>continuum</w:t>
      </w:r>
      <w:r w:rsidRPr="00F47564">
        <w:rPr>
          <w:lang w:eastAsia="es-ES_tradnl"/>
        </w:rPr>
        <w:t xml:space="preserve"> funcional de tenencias inmobiliarias (desde la propiedad absoluta hasta estas tenencias intermedias, cooperativas, alquileres hasta la vivienda social) y otras medidas estructurales, como la cohesión territorial. No existen soluciones fáciles a problemas complejos, de modo que a nivel local deben buscarse las vías para construir y actuar sobre lo ya construido (accesibilidad, eficiencia energética, viviendas vacías y cohesión urbana) que contribuyan, en su conjunto, a mejorar el acceso a una vivienda digna.</w:t>
      </w:r>
    </w:p>
    <w:p w14:paraId="5D10A2A4" w14:textId="77777777" w:rsidR="006C7243" w:rsidRPr="00F47564" w:rsidRDefault="006C7243" w:rsidP="00232B41">
      <w:pPr>
        <w:widowControl w:val="0"/>
        <w:jc w:val="both"/>
        <w:rPr>
          <w:rFonts w:ascii="Times New Roman" w:eastAsia="Times New Roman" w:hAnsi="Times New Roman" w:cs="Times New Roman"/>
          <w:b/>
          <w:bCs/>
          <w:kern w:val="0"/>
          <w:sz w:val="22"/>
          <w:szCs w:val="22"/>
          <w:lang w:eastAsia="es-ES_tradnl"/>
          <w14:ligatures w14:val="none"/>
        </w:rPr>
      </w:pPr>
    </w:p>
    <w:p w14:paraId="57D3339B" w14:textId="56963F8B" w:rsidR="00A07A94" w:rsidRPr="00404F84" w:rsidRDefault="00A07A94" w:rsidP="00A01F16">
      <w:pPr>
        <w:widowControl w:val="0"/>
        <w:spacing w:before="240"/>
        <w:jc w:val="both"/>
        <w:rPr>
          <w:rFonts w:ascii="Times New Roman" w:eastAsia="Times New Roman" w:hAnsi="Times New Roman" w:cs="Times New Roman"/>
          <w:b/>
          <w:bCs/>
          <w:kern w:val="0"/>
          <w:lang w:eastAsia="es-ES_tradnl"/>
          <w14:ligatures w14:val="none"/>
        </w:rPr>
      </w:pPr>
      <w:r w:rsidRPr="00404F84">
        <w:rPr>
          <w:rFonts w:ascii="Times New Roman" w:eastAsia="Times New Roman" w:hAnsi="Times New Roman" w:cs="Times New Roman"/>
          <w:b/>
          <w:bCs/>
          <w:kern w:val="0"/>
          <w:lang w:eastAsia="es-ES_tradnl"/>
          <w14:ligatures w14:val="none"/>
        </w:rPr>
        <w:t>Referencias</w:t>
      </w:r>
    </w:p>
    <w:p w14:paraId="5F4E2FDC" w14:textId="15A23887" w:rsidR="00021060" w:rsidRPr="000C3891" w:rsidRDefault="00021060" w:rsidP="001213E5">
      <w:pPr>
        <w:pStyle w:val="Textonotapie"/>
        <w:widowControl w:val="0"/>
        <w:spacing w:before="240"/>
        <w:ind w:firstLine="709"/>
        <w:jc w:val="both"/>
        <w:rPr>
          <w:rFonts w:ascii="Times New Roman" w:eastAsiaTheme="minorEastAsia" w:hAnsi="Times New Roman" w:cs="Times New Roman"/>
        </w:rPr>
      </w:pPr>
      <w:r w:rsidRPr="000C3891">
        <w:rPr>
          <w:rFonts w:ascii="Times New Roman" w:eastAsiaTheme="minorEastAsia" w:hAnsi="Times New Roman" w:cs="Times New Roman"/>
        </w:rPr>
        <w:t>Ayala</w:t>
      </w:r>
      <w:r w:rsidR="00AE60A7" w:rsidRPr="000C3891">
        <w:rPr>
          <w:rFonts w:ascii="Times New Roman" w:eastAsiaTheme="minorEastAsia" w:hAnsi="Times New Roman" w:cs="Times New Roman"/>
        </w:rPr>
        <w:t xml:space="preserve"> Cañón, L., </w:t>
      </w:r>
      <w:proofErr w:type="spellStart"/>
      <w:r w:rsidR="00AE60A7" w:rsidRPr="000C3891">
        <w:rPr>
          <w:rFonts w:ascii="Times New Roman" w:eastAsiaTheme="minorEastAsia" w:hAnsi="Times New Roman" w:cs="Times New Roman"/>
        </w:rPr>
        <w:t>Laparra</w:t>
      </w:r>
      <w:proofErr w:type="spellEnd"/>
      <w:r w:rsidR="00AE60A7" w:rsidRPr="000C3891">
        <w:rPr>
          <w:rFonts w:ascii="Times New Roman" w:eastAsiaTheme="minorEastAsia" w:hAnsi="Times New Roman" w:cs="Times New Roman"/>
        </w:rPr>
        <w:t xml:space="preserve"> Navarro, M.</w:t>
      </w:r>
      <w:r w:rsidR="00DF62DE" w:rsidRPr="000C3891">
        <w:rPr>
          <w:rFonts w:ascii="Times New Roman" w:eastAsiaTheme="minorEastAsia" w:hAnsi="Times New Roman" w:cs="Times New Roman"/>
        </w:rPr>
        <w:t xml:space="preserve"> </w:t>
      </w:r>
      <w:r w:rsidR="00B65861" w:rsidRPr="000C3891">
        <w:rPr>
          <w:rFonts w:ascii="Times New Roman" w:eastAsiaTheme="minorEastAsia" w:hAnsi="Times New Roman" w:cs="Times New Roman"/>
        </w:rPr>
        <w:t>&amp;</w:t>
      </w:r>
      <w:r w:rsidR="00DF62DE" w:rsidRPr="000C3891">
        <w:rPr>
          <w:rFonts w:ascii="Times New Roman" w:eastAsiaTheme="minorEastAsia" w:hAnsi="Times New Roman" w:cs="Times New Roman"/>
        </w:rPr>
        <w:t xml:space="preserve"> Rodríguez Cabrero, G. </w:t>
      </w:r>
      <w:r w:rsidR="00A037B3" w:rsidRPr="000C3891">
        <w:rPr>
          <w:rFonts w:ascii="Times New Roman" w:eastAsiaTheme="minorEastAsia" w:hAnsi="Times New Roman" w:cs="Times New Roman"/>
        </w:rPr>
        <w:t>(</w:t>
      </w:r>
      <w:proofErr w:type="spellStart"/>
      <w:r w:rsidR="00A037B3" w:rsidRPr="000C3891">
        <w:rPr>
          <w:rFonts w:ascii="Times New Roman" w:eastAsiaTheme="minorEastAsia" w:hAnsi="Times New Roman" w:cs="Times New Roman"/>
        </w:rPr>
        <w:t>Coords</w:t>
      </w:r>
      <w:proofErr w:type="spellEnd"/>
      <w:r w:rsidR="00A037B3" w:rsidRPr="000C3891">
        <w:rPr>
          <w:rFonts w:ascii="Times New Roman" w:eastAsiaTheme="minorEastAsia" w:hAnsi="Times New Roman" w:cs="Times New Roman"/>
        </w:rPr>
        <w:t>.) (2022)</w:t>
      </w:r>
      <w:r w:rsidR="002E7A29" w:rsidRPr="000C3891">
        <w:rPr>
          <w:rFonts w:ascii="Times New Roman" w:eastAsiaTheme="minorEastAsia" w:hAnsi="Times New Roman" w:cs="Times New Roman"/>
        </w:rPr>
        <w:t>.</w:t>
      </w:r>
      <w:r w:rsidR="00AE60A7" w:rsidRPr="000C3891">
        <w:rPr>
          <w:rFonts w:ascii="Times New Roman" w:eastAsiaTheme="minorEastAsia" w:hAnsi="Times New Roman" w:cs="Times New Roman"/>
        </w:rPr>
        <w:t xml:space="preserve"> </w:t>
      </w:r>
      <w:r w:rsidR="00F12A6E" w:rsidRPr="000C3891">
        <w:rPr>
          <w:rFonts w:ascii="Times New Roman" w:eastAsiaTheme="minorEastAsia" w:hAnsi="Times New Roman" w:cs="Times New Roman"/>
          <w:i/>
          <w:iCs/>
        </w:rPr>
        <w:lastRenderedPageBreak/>
        <w:t>Evolución de la cohesión social</w:t>
      </w:r>
      <w:r w:rsidR="0096192F" w:rsidRPr="000C3891">
        <w:rPr>
          <w:rFonts w:ascii="Times New Roman" w:eastAsiaTheme="minorEastAsia" w:hAnsi="Times New Roman" w:cs="Times New Roman"/>
          <w:i/>
          <w:iCs/>
        </w:rPr>
        <w:t xml:space="preserve"> y consecuencias de la Covid-19 en España</w:t>
      </w:r>
      <w:r w:rsidR="00DF6FB5" w:rsidRPr="000C3891">
        <w:rPr>
          <w:rFonts w:ascii="Times New Roman" w:eastAsiaTheme="minorEastAsia" w:hAnsi="Times New Roman" w:cs="Times New Roman"/>
        </w:rPr>
        <w:t>.</w:t>
      </w:r>
      <w:r w:rsidR="0096192F" w:rsidRPr="000C3891">
        <w:rPr>
          <w:rFonts w:ascii="Times New Roman" w:eastAsiaTheme="minorEastAsia" w:hAnsi="Times New Roman" w:cs="Times New Roman"/>
        </w:rPr>
        <w:t xml:space="preserve"> Fundación </w:t>
      </w:r>
      <w:proofErr w:type="spellStart"/>
      <w:r w:rsidR="0096192F" w:rsidRPr="000C3891">
        <w:rPr>
          <w:rFonts w:ascii="Times New Roman" w:eastAsiaTheme="minorEastAsia" w:hAnsi="Times New Roman" w:cs="Times New Roman"/>
        </w:rPr>
        <w:t>Foessa</w:t>
      </w:r>
      <w:proofErr w:type="spellEnd"/>
      <w:r w:rsidR="00614780" w:rsidRPr="000C3891">
        <w:rPr>
          <w:rFonts w:ascii="Times New Roman" w:eastAsiaTheme="minorEastAsia" w:hAnsi="Times New Roman" w:cs="Times New Roman"/>
        </w:rPr>
        <w:t>.</w:t>
      </w:r>
      <w:r w:rsidR="00A037B3" w:rsidRPr="000C3891">
        <w:rPr>
          <w:rFonts w:ascii="Times New Roman" w:eastAsiaTheme="minorEastAsia" w:hAnsi="Times New Roman" w:cs="Times New Roman"/>
        </w:rPr>
        <w:t xml:space="preserve"> </w:t>
      </w:r>
      <w:hyperlink r:id="rId14" w:history="1">
        <w:r w:rsidR="00A037B3" w:rsidRPr="000C3891">
          <w:rPr>
            <w:rStyle w:val="Hipervnculo"/>
            <w:rFonts w:ascii="Times New Roman" w:eastAsiaTheme="minorEastAsia" w:hAnsi="Times New Roman" w:cs="Times New Roman"/>
          </w:rPr>
          <w:t>https://www.caritas.es/main-files/uploads/sites/31/2022/01/Informe-FOESSA-2022.pdf</w:t>
        </w:r>
      </w:hyperlink>
      <w:r w:rsidR="00A037B3" w:rsidRPr="000C3891">
        <w:rPr>
          <w:rFonts w:ascii="Times New Roman" w:eastAsiaTheme="minorEastAsia" w:hAnsi="Times New Roman" w:cs="Times New Roman"/>
        </w:rPr>
        <w:t xml:space="preserve">. </w:t>
      </w:r>
    </w:p>
    <w:p w14:paraId="5C6FB8BE" w14:textId="0F006175"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eastAsiaTheme="minorEastAsia" w:hAnsi="Times New Roman" w:cs="Times New Roman"/>
        </w:rPr>
        <w:t xml:space="preserve">Banco de España </w:t>
      </w:r>
      <w:r w:rsidRPr="000C3891">
        <w:rPr>
          <w:rFonts w:ascii="Times New Roman" w:hAnsi="Times New Roman" w:cs="Times New Roman"/>
        </w:rPr>
        <w:t xml:space="preserve">(2019). </w:t>
      </w:r>
      <w:r w:rsidRPr="000C3891">
        <w:rPr>
          <w:rFonts w:ascii="Times New Roman" w:hAnsi="Times New Roman" w:cs="Times New Roman"/>
          <w:i/>
          <w:iCs/>
        </w:rPr>
        <w:t xml:space="preserve">Boletín Económico 1/2019, Informe trimestral de la </w:t>
      </w:r>
      <w:r w:rsidR="00E6289D" w:rsidRPr="000C3891">
        <w:rPr>
          <w:rFonts w:ascii="Times New Roman" w:hAnsi="Times New Roman" w:cs="Times New Roman"/>
          <w:i/>
          <w:iCs/>
        </w:rPr>
        <w:t>economía</w:t>
      </w:r>
      <w:r w:rsidRPr="000C3891">
        <w:rPr>
          <w:rFonts w:ascii="Times New Roman" w:hAnsi="Times New Roman" w:cs="Times New Roman"/>
          <w:i/>
          <w:iCs/>
        </w:rPr>
        <w:t xml:space="preserve"> </w:t>
      </w:r>
      <w:r w:rsidR="00E6289D" w:rsidRPr="000C3891">
        <w:rPr>
          <w:rFonts w:ascii="Times New Roman" w:hAnsi="Times New Roman" w:cs="Times New Roman"/>
          <w:i/>
          <w:iCs/>
        </w:rPr>
        <w:t>española</w:t>
      </w:r>
      <w:r w:rsidRPr="000C3891">
        <w:rPr>
          <w:rFonts w:ascii="Times New Roman" w:hAnsi="Times New Roman" w:cs="Times New Roman"/>
        </w:rPr>
        <w:t xml:space="preserve">. </w:t>
      </w:r>
      <w:r w:rsidR="00185891" w:rsidRPr="000C3891">
        <w:rPr>
          <w:rFonts w:ascii="Times New Roman" w:hAnsi="Times New Roman" w:cs="Times New Roman"/>
        </w:rPr>
        <w:t>Banco de España</w:t>
      </w:r>
      <w:r w:rsidR="00614780" w:rsidRPr="000C3891">
        <w:rPr>
          <w:rFonts w:ascii="Times New Roman" w:hAnsi="Times New Roman" w:cs="Times New Roman"/>
        </w:rPr>
        <w:t>.</w:t>
      </w:r>
      <w:r w:rsidRPr="000C3891">
        <w:rPr>
          <w:rFonts w:ascii="Times New Roman" w:hAnsi="Times New Roman" w:cs="Times New Roman"/>
        </w:rPr>
        <w:t xml:space="preserve"> </w:t>
      </w:r>
      <w:hyperlink r:id="rId15" w:history="1">
        <w:r w:rsidRPr="000C3891">
          <w:rPr>
            <w:rStyle w:val="Hipervnculo"/>
            <w:rFonts w:ascii="Times New Roman" w:hAnsi="Times New Roman" w:cs="Times New Roman"/>
          </w:rPr>
          <w:t>https://repositorio.bde.es/bitstream/123456789/8465/1/be1901.pdf</w:t>
        </w:r>
      </w:hyperlink>
      <w:r w:rsidRPr="000C3891">
        <w:rPr>
          <w:rFonts w:ascii="Times New Roman" w:hAnsi="Times New Roman" w:cs="Times New Roman"/>
        </w:rPr>
        <w:t>.</w:t>
      </w:r>
    </w:p>
    <w:p w14:paraId="74FFCE85" w14:textId="433D80BE" w:rsidR="00A07A94" w:rsidRPr="000C3891" w:rsidRDefault="00A07A94" w:rsidP="001213E5">
      <w:pPr>
        <w:widowControl w:val="0"/>
        <w:autoSpaceDE w:val="0"/>
        <w:autoSpaceDN w:val="0"/>
        <w:adjustRightInd w:val="0"/>
        <w:spacing w:before="240"/>
        <w:ind w:firstLine="709"/>
        <w:jc w:val="both"/>
        <w:rPr>
          <w:rFonts w:ascii="Times New Roman" w:eastAsiaTheme="minorEastAsia" w:hAnsi="Times New Roman" w:cs="Times New Roman"/>
          <w:lang w:eastAsia="es-ES_tradnl"/>
        </w:rPr>
      </w:pPr>
      <w:r w:rsidRPr="000C3891">
        <w:rPr>
          <w:rFonts w:ascii="Times New Roman" w:eastAsiaTheme="minorEastAsia" w:hAnsi="Times New Roman" w:cs="Times New Roman"/>
          <w:lang w:eastAsia="es-ES"/>
        </w:rPr>
        <w:t xml:space="preserve">Banco de España (2023). </w:t>
      </w:r>
      <w:r w:rsidRPr="000C3891">
        <w:rPr>
          <w:rFonts w:ascii="Times New Roman" w:eastAsiaTheme="minorEastAsia" w:hAnsi="Times New Roman" w:cs="Times New Roman"/>
          <w:i/>
          <w:iCs/>
          <w:lang w:eastAsia="es-ES"/>
        </w:rPr>
        <w:t>Informe Anual 2023</w:t>
      </w:r>
      <w:r w:rsidRPr="000C3891">
        <w:rPr>
          <w:rFonts w:ascii="Times New Roman" w:eastAsiaTheme="minorEastAsia" w:hAnsi="Times New Roman" w:cs="Times New Roman"/>
          <w:lang w:eastAsia="es-ES"/>
        </w:rPr>
        <w:t xml:space="preserve">. </w:t>
      </w:r>
      <w:r w:rsidR="00185891" w:rsidRPr="000C3891">
        <w:rPr>
          <w:rFonts w:ascii="Times New Roman" w:eastAsiaTheme="minorEastAsia" w:hAnsi="Times New Roman" w:cs="Times New Roman"/>
          <w:lang w:eastAsia="es-ES"/>
        </w:rPr>
        <w:t>Banco de España</w:t>
      </w:r>
      <w:r w:rsidR="007F4D89" w:rsidRPr="000C3891">
        <w:rPr>
          <w:rFonts w:ascii="Times New Roman" w:eastAsiaTheme="minorEastAsia" w:hAnsi="Times New Roman" w:cs="Times New Roman"/>
          <w:lang w:eastAsia="es-ES"/>
        </w:rPr>
        <w:t>.</w:t>
      </w:r>
      <w:hyperlink r:id="rId16" w:history="1">
        <w:r w:rsidRPr="000C3891">
          <w:rPr>
            <w:rStyle w:val="Hipervnculo"/>
            <w:rFonts w:ascii="Times New Roman" w:eastAsiaTheme="minorEastAsia" w:hAnsi="Times New Roman" w:cs="Times New Roman"/>
            <w:lang w:eastAsia="es-ES"/>
          </w:rPr>
          <w:t>https://www.bde.es/f/webbe/SES/Secciones/Publicaciones/PublicacionesAnuales/InformesAnuales/23/Fich/InfAnual_2023_Cap4.pdf</w:t>
        </w:r>
      </w:hyperlink>
      <w:r w:rsidRPr="000C3891">
        <w:rPr>
          <w:rFonts w:ascii="Times New Roman" w:eastAsiaTheme="minorEastAsia" w:hAnsi="Times New Roman" w:cs="Times New Roman"/>
          <w:lang w:eastAsia="es-ES"/>
        </w:rPr>
        <w:t>.</w:t>
      </w:r>
    </w:p>
    <w:p w14:paraId="40CA918D" w14:textId="5AC42151"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Bosch, J. </w:t>
      </w:r>
      <w:r w:rsidR="00B65861" w:rsidRPr="000C3891">
        <w:rPr>
          <w:rFonts w:ascii="Times New Roman" w:hAnsi="Times New Roman" w:cs="Times New Roman"/>
        </w:rPr>
        <w:t>&amp;</w:t>
      </w:r>
      <w:r w:rsidRPr="000C3891">
        <w:rPr>
          <w:rFonts w:ascii="Times New Roman" w:hAnsi="Times New Roman" w:cs="Times New Roman"/>
        </w:rPr>
        <w:t xml:space="preserve"> Trilla, C. (2019). </w:t>
      </w:r>
      <w:r w:rsidRPr="000C3891">
        <w:rPr>
          <w:rFonts w:ascii="Times New Roman" w:hAnsi="Times New Roman" w:cs="Times New Roman"/>
          <w:i/>
          <w:iCs/>
        </w:rPr>
        <w:t xml:space="preserve">Sistema </w:t>
      </w:r>
      <w:proofErr w:type="spellStart"/>
      <w:r w:rsidRPr="000C3891">
        <w:rPr>
          <w:rFonts w:ascii="Times New Roman" w:hAnsi="Times New Roman" w:cs="Times New Roman"/>
          <w:i/>
          <w:iCs/>
        </w:rPr>
        <w:t>d’habitatge</w:t>
      </w:r>
      <w:proofErr w:type="spellEnd"/>
      <w:r w:rsidRPr="000C3891">
        <w:rPr>
          <w:rFonts w:ascii="Times New Roman" w:hAnsi="Times New Roman" w:cs="Times New Roman"/>
          <w:i/>
          <w:iCs/>
        </w:rPr>
        <w:t xml:space="preserve"> i </w:t>
      </w:r>
      <w:proofErr w:type="spellStart"/>
      <w:r w:rsidRPr="000C3891">
        <w:rPr>
          <w:rFonts w:ascii="Times New Roman" w:hAnsi="Times New Roman" w:cs="Times New Roman"/>
          <w:i/>
          <w:iCs/>
        </w:rPr>
        <w:t>estat</w:t>
      </w:r>
      <w:proofErr w:type="spellEnd"/>
      <w:r w:rsidRPr="000C3891">
        <w:rPr>
          <w:rFonts w:ascii="Times New Roman" w:hAnsi="Times New Roman" w:cs="Times New Roman"/>
          <w:i/>
          <w:iCs/>
        </w:rPr>
        <w:t xml:space="preserve"> del </w:t>
      </w:r>
      <w:proofErr w:type="spellStart"/>
      <w:r w:rsidRPr="000C3891">
        <w:rPr>
          <w:rFonts w:ascii="Times New Roman" w:hAnsi="Times New Roman" w:cs="Times New Roman"/>
          <w:i/>
          <w:iCs/>
        </w:rPr>
        <w:t>benestar</w:t>
      </w:r>
      <w:proofErr w:type="spellEnd"/>
      <w:r w:rsidRPr="000C3891">
        <w:rPr>
          <w:rFonts w:ascii="Times New Roman" w:hAnsi="Times New Roman" w:cs="Times New Roman"/>
          <w:i/>
          <w:iCs/>
        </w:rPr>
        <w:t xml:space="preserve">. El cas </w:t>
      </w:r>
      <w:proofErr w:type="spellStart"/>
      <w:r w:rsidRPr="000C3891">
        <w:rPr>
          <w:rFonts w:ascii="Times New Roman" w:hAnsi="Times New Roman" w:cs="Times New Roman"/>
          <w:i/>
          <w:iCs/>
        </w:rPr>
        <w:t>espanyol</w:t>
      </w:r>
      <w:proofErr w:type="spellEnd"/>
      <w:r w:rsidRPr="000C3891">
        <w:rPr>
          <w:rFonts w:ascii="Times New Roman" w:hAnsi="Times New Roman" w:cs="Times New Roman"/>
          <w:i/>
          <w:iCs/>
        </w:rPr>
        <w:t xml:space="preserve"> en el </w:t>
      </w:r>
      <w:proofErr w:type="spellStart"/>
      <w:r w:rsidRPr="000C3891">
        <w:rPr>
          <w:rFonts w:ascii="Times New Roman" w:hAnsi="Times New Roman" w:cs="Times New Roman"/>
          <w:i/>
          <w:iCs/>
        </w:rPr>
        <w:t>marc</w:t>
      </w:r>
      <w:proofErr w:type="spellEnd"/>
      <w:r w:rsidRPr="000C3891">
        <w:rPr>
          <w:rFonts w:ascii="Times New Roman" w:hAnsi="Times New Roman" w:cs="Times New Roman"/>
          <w:i/>
          <w:iCs/>
        </w:rPr>
        <w:t xml:space="preserve"> </w:t>
      </w:r>
      <w:proofErr w:type="spellStart"/>
      <w:r w:rsidRPr="000C3891">
        <w:rPr>
          <w:rFonts w:ascii="Times New Roman" w:hAnsi="Times New Roman" w:cs="Times New Roman"/>
          <w:i/>
          <w:iCs/>
        </w:rPr>
        <w:t>europeu</w:t>
      </w:r>
      <w:proofErr w:type="spellEnd"/>
      <w:r w:rsidRPr="000C3891">
        <w:rPr>
          <w:rFonts w:ascii="Times New Roman" w:hAnsi="Times New Roman" w:cs="Times New Roman"/>
        </w:rPr>
        <w:t>.</w:t>
      </w:r>
      <w:r w:rsidR="00BD550A" w:rsidRPr="000C3891">
        <w:rPr>
          <w:rFonts w:ascii="Times New Roman" w:hAnsi="Times New Roman" w:cs="Times New Roman"/>
        </w:rPr>
        <w:t xml:space="preserve"> </w:t>
      </w:r>
      <w:proofErr w:type="spellStart"/>
      <w:r w:rsidR="00BD550A" w:rsidRPr="000C3891">
        <w:rPr>
          <w:rFonts w:ascii="Times New Roman" w:hAnsi="Times New Roman" w:cs="Times New Roman"/>
        </w:rPr>
        <w:t>Observatori</w:t>
      </w:r>
      <w:proofErr w:type="spellEnd"/>
      <w:r w:rsidR="00BD550A" w:rsidRPr="000C3891">
        <w:rPr>
          <w:rFonts w:ascii="Times New Roman" w:hAnsi="Times New Roman" w:cs="Times New Roman"/>
        </w:rPr>
        <w:t xml:space="preserve"> Social </w:t>
      </w:r>
      <w:proofErr w:type="spellStart"/>
      <w:r w:rsidR="00BD550A" w:rsidRPr="000C3891">
        <w:rPr>
          <w:rFonts w:ascii="Times New Roman" w:hAnsi="Times New Roman" w:cs="Times New Roman"/>
        </w:rPr>
        <w:t>Fundació</w:t>
      </w:r>
      <w:proofErr w:type="spellEnd"/>
      <w:r w:rsidR="00BD550A" w:rsidRPr="000C3891">
        <w:rPr>
          <w:rFonts w:ascii="Times New Roman" w:hAnsi="Times New Roman" w:cs="Times New Roman"/>
        </w:rPr>
        <w:t xml:space="preserve"> “la Caixa!”</w:t>
      </w:r>
      <w:r w:rsidR="00614780" w:rsidRPr="000C3891">
        <w:rPr>
          <w:rFonts w:ascii="Times New Roman" w:hAnsi="Times New Roman" w:cs="Times New Roman"/>
        </w:rPr>
        <w:t>.</w:t>
      </w:r>
      <w:r w:rsidR="00BD550A" w:rsidRPr="000C3891">
        <w:rPr>
          <w:rFonts w:ascii="Times New Roman" w:hAnsi="Times New Roman" w:cs="Times New Roman"/>
        </w:rPr>
        <w:t xml:space="preserve"> </w:t>
      </w:r>
      <w:hyperlink r:id="rId17" w:history="1">
        <w:r w:rsidRPr="000C3891">
          <w:rPr>
            <w:rStyle w:val="Hipervnculo"/>
            <w:rFonts w:ascii="Times New Roman" w:hAnsi="Times New Roman" w:cs="Times New Roman"/>
          </w:rPr>
          <w:t>https://elobservatoriosocial.fundacionlacaixa.org/ca/-/sistema-d-habitatge-i-estat-del-benestar.-el-cas-espanyol-en-el-marc-europeu</w:t>
        </w:r>
      </w:hyperlink>
      <w:r w:rsidRPr="000C3891">
        <w:rPr>
          <w:rFonts w:ascii="Times New Roman" w:hAnsi="Times New Roman" w:cs="Times New Roman"/>
        </w:rPr>
        <w:t>.</w:t>
      </w:r>
    </w:p>
    <w:p w14:paraId="11F03C20" w14:textId="07E789D4" w:rsidR="00A945E6" w:rsidRPr="000C3891" w:rsidRDefault="00A945E6" w:rsidP="001213E5">
      <w:pPr>
        <w:pStyle w:val="Textonotapie"/>
        <w:widowControl w:val="0"/>
        <w:spacing w:before="240"/>
        <w:ind w:firstLine="709"/>
        <w:jc w:val="both"/>
        <w:rPr>
          <w:rFonts w:ascii="Times New Roman" w:hAnsi="Times New Roman" w:cs="Times New Roman"/>
        </w:rPr>
      </w:pPr>
      <w:proofErr w:type="spellStart"/>
      <w:r w:rsidRPr="000C3891">
        <w:rPr>
          <w:rFonts w:ascii="Times New Roman" w:hAnsi="Times New Roman" w:cs="Times New Roman"/>
          <w:lang w:eastAsia="es-ES_tradnl"/>
        </w:rPr>
        <w:t>Caballé</w:t>
      </w:r>
      <w:proofErr w:type="spellEnd"/>
      <w:r w:rsidRPr="000C3891">
        <w:rPr>
          <w:rFonts w:ascii="Times New Roman" w:hAnsi="Times New Roman" w:cs="Times New Roman"/>
          <w:lang w:eastAsia="es-ES_tradnl"/>
        </w:rPr>
        <w:t xml:space="preserve">, G., </w:t>
      </w:r>
      <w:proofErr w:type="spellStart"/>
      <w:r w:rsidRPr="000C3891">
        <w:rPr>
          <w:rFonts w:ascii="Times New Roman" w:hAnsi="Times New Roman" w:cs="Times New Roman"/>
          <w:lang w:eastAsia="es-ES_tradnl"/>
        </w:rPr>
        <w:t>Garcia</w:t>
      </w:r>
      <w:proofErr w:type="spellEnd"/>
      <w:r w:rsidRPr="000C3891">
        <w:rPr>
          <w:rFonts w:ascii="Times New Roman" w:hAnsi="Times New Roman" w:cs="Times New Roman"/>
          <w:lang w:eastAsia="es-ES_tradnl"/>
        </w:rPr>
        <w:t xml:space="preserve">, R. M., </w:t>
      </w:r>
      <w:proofErr w:type="spellStart"/>
      <w:r w:rsidRPr="000C3891">
        <w:rPr>
          <w:rFonts w:ascii="Times New Roman" w:hAnsi="Times New Roman" w:cs="Times New Roman"/>
          <w:lang w:eastAsia="es-ES_tradnl"/>
        </w:rPr>
        <w:t>Lambea</w:t>
      </w:r>
      <w:proofErr w:type="spellEnd"/>
      <w:r w:rsidRPr="000C3891">
        <w:rPr>
          <w:rFonts w:ascii="Times New Roman" w:hAnsi="Times New Roman" w:cs="Times New Roman"/>
          <w:lang w:eastAsia="es-ES_tradnl"/>
        </w:rPr>
        <w:t xml:space="preserve">, N., </w:t>
      </w:r>
      <w:proofErr w:type="gramStart"/>
      <w:r w:rsidRPr="000C3891">
        <w:rPr>
          <w:rFonts w:ascii="Times New Roman" w:hAnsi="Times New Roman" w:cs="Times New Roman"/>
          <w:lang w:eastAsia="es-ES_tradnl"/>
        </w:rPr>
        <w:t>Nasarre ,</w:t>
      </w:r>
      <w:proofErr w:type="gramEnd"/>
      <w:r w:rsidRPr="000C3891">
        <w:rPr>
          <w:rFonts w:ascii="Times New Roman" w:hAnsi="Times New Roman" w:cs="Times New Roman"/>
          <w:lang w:eastAsia="es-ES_tradnl"/>
        </w:rPr>
        <w:t xml:space="preserve"> S. y Simón, H. </w:t>
      </w:r>
      <w:r w:rsidR="003F68E7" w:rsidRPr="000C3891">
        <w:rPr>
          <w:rFonts w:ascii="Times New Roman" w:hAnsi="Times New Roman" w:cs="Times New Roman"/>
          <w:lang w:eastAsia="es-ES_tradnl"/>
        </w:rPr>
        <w:t>(</w:t>
      </w:r>
      <w:r w:rsidRPr="000C3891">
        <w:rPr>
          <w:rFonts w:ascii="Times New Roman" w:hAnsi="Times New Roman" w:cs="Times New Roman"/>
          <w:lang w:eastAsia="es-ES_tradnl"/>
        </w:rPr>
        <w:t>2020</w:t>
      </w:r>
      <w:r w:rsidR="003F68E7" w:rsidRPr="000C3891">
        <w:rPr>
          <w:rFonts w:ascii="Times New Roman" w:hAnsi="Times New Roman" w:cs="Times New Roman"/>
          <w:lang w:eastAsia="es-ES_tradnl"/>
        </w:rPr>
        <w:t xml:space="preserve">). </w:t>
      </w:r>
      <w:proofErr w:type="spellStart"/>
      <w:r w:rsidR="003F68E7" w:rsidRPr="000C3891">
        <w:rPr>
          <w:rFonts w:ascii="Times New Roman" w:hAnsi="Times New Roman" w:cs="Times New Roman"/>
          <w:i/>
          <w:iCs/>
          <w:lang w:eastAsia="es-ES_tradnl"/>
        </w:rPr>
        <w:t>L'habitatge</w:t>
      </w:r>
      <w:proofErr w:type="spellEnd"/>
      <w:r w:rsidR="003F68E7" w:rsidRPr="000C3891">
        <w:rPr>
          <w:rFonts w:ascii="Times New Roman" w:hAnsi="Times New Roman" w:cs="Times New Roman"/>
          <w:i/>
          <w:iCs/>
          <w:lang w:eastAsia="es-ES_tradnl"/>
        </w:rPr>
        <w:t xml:space="preserve"> </w:t>
      </w:r>
      <w:proofErr w:type="spellStart"/>
      <w:r w:rsidR="003F68E7" w:rsidRPr="000C3891">
        <w:rPr>
          <w:rFonts w:ascii="Times New Roman" w:hAnsi="Times New Roman" w:cs="Times New Roman"/>
          <w:i/>
          <w:iCs/>
          <w:lang w:eastAsia="es-ES_tradnl"/>
        </w:rPr>
        <w:t>compartit</w:t>
      </w:r>
      <w:proofErr w:type="spellEnd"/>
      <w:r w:rsidR="003F68E7" w:rsidRPr="000C3891">
        <w:rPr>
          <w:rFonts w:ascii="Times New Roman" w:hAnsi="Times New Roman" w:cs="Times New Roman"/>
          <w:i/>
          <w:iCs/>
          <w:lang w:eastAsia="es-ES_tradnl"/>
        </w:rPr>
        <w:t xml:space="preserve"> a Barcelona i la </w:t>
      </w:r>
      <w:proofErr w:type="spellStart"/>
      <w:r w:rsidR="003F68E7" w:rsidRPr="000C3891">
        <w:rPr>
          <w:rFonts w:ascii="Times New Roman" w:hAnsi="Times New Roman" w:cs="Times New Roman"/>
          <w:i/>
          <w:iCs/>
          <w:lang w:eastAsia="es-ES_tradnl"/>
        </w:rPr>
        <w:t>seva</w:t>
      </w:r>
      <w:proofErr w:type="spellEnd"/>
      <w:r w:rsidR="003F68E7" w:rsidRPr="000C3891">
        <w:rPr>
          <w:rFonts w:ascii="Times New Roman" w:hAnsi="Times New Roman" w:cs="Times New Roman"/>
          <w:i/>
          <w:iCs/>
          <w:lang w:eastAsia="es-ES_tradnl"/>
        </w:rPr>
        <w:t xml:space="preserve"> </w:t>
      </w:r>
      <w:proofErr w:type="spellStart"/>
      <w:r w:rsidR="003F68E7" w:rsidRPr="000C3891">
        <w:rPr>
          <w:rFonts w:ascii="Times New Roman" w:hAnsi="Times New Roman" w:cs="Times New Roman"/>
          <w:i/>
          <w:iCs/>
          <w:lang w:eastAsia="es-ES_tradnl"/>
        </w:rPr>
        <w:t>adequació</w:t>
      </w:r>
      <w:proofErr w:type="spellEnd"/>
      <w:r w:rsidR="003F68E7" w:rsidRPr="000C3891">
        <w:rPr>
          <w:rFonts w:ascii="Times New Roman" w:hAnsi="Times New Roman" w:cs="Times New Roman"/>
          <w:i/>
          <w:iCs/>
          <w:lang w:eastAsia="es-ES_tradnl"/>
        </w:rPr>
        <w:t xml:space="preserve"> </w:t>
      </w:r>
      <w:proofErr w:type="spellStart"/>
      <w:r w:rsidR="003F68E7" w:rsidRPr="000C3891">
        <w:rPr>
          <w:rFonts w:ascii="Times New Roman" w:hAnsi="Times New Roman" w:cs="Times New Roman"/>
          <w:i/>
          <w:iCs/>
          <w:lang w:eastAsia="es-ES_tradnl"/>
        </w:rPr>
        <w:t>als</w:t>
      </w:r>
      <w:proofErr w:type="spellEnd"/>
      <w:r w:rsidR="003F68E7" w:rsidRPr="000C3891">
        <w:rPr>
          <w:rFonts w:ascii="Times New Roman" w:hAnsi="Times New Roman" w:cs="Times New Roman"/>
          <w:i/>
          <w:iCs/>
          <w:lang w:eastAsia="es-ES_tradnl"/>
        </w:rPr>
        <w:t xml:space="preserve"> </w:t>
      </w:r>
      <w:proofErr w:type="spellStart"/>
      <w:r w:rsidR="003F68E7" w:rsidRPr="000C3891">
        <w:rPr>
          <w:rFonts w:ascii="Times New Roman" w:hAnsi="Times New Roman" w:cs="Times New Roman"/>
          <w:i/>
          <w:iCs/>
          <w:lang w:eastAsia="es-ES_tradnl"/>
        </w:rPr>
        <w:t>estàndards</w:t>
      </w:r>
      <w:proofErr w:type="spellEnd"/>
      <w:r w:rsidR="003F68E7" w:rsidRPr="000C3891">
        <w:rPr>
          <w:rFonts w:ascii="Times New Roman" w:hAnsi="Times New Roman" w:cs="Times New Roman"/>
          <w:i/>
          <w:iCs/>
          <w:lang w:eastAsia="es-ES_tradnl"/>
        </w:rPr>
        <w:t xml:space="preserve"> </w:t>
      </w:r>
      <w:proofErr w:type="spellStart"/>
      <w:r w:rsidR="003F68E7" w:rsidRPr="000C3891">
        <w:rPr>
          <w:rFonts w:ascii="Times New Roman" w:hAnsi="Times New Roman" w:cs="Times New Roman"/>
          <w:i/>
          <w:iCs/>
          <w:lang w:eastAsia="es-ES_tradnl"/>
        </w:rPr>
        <w:t>internacionals</w:t>
      </w:r>
      <w:proofErr w:type="spellEnd"/>
      <w:r w:rsidR="003F68E7" w:rsidRPr="000C3891">
        <w:rPr>
          <w:rFonts w:ascii="Times New Roman" w:hAnsi="Times New Roman" w:cs="Times New Roman"/>
          <w:lang w:eastAsia="es-ES_tradnl"/>
        </w:rPr>
        <w:t>. Sindicatura de Greuges de Barcelona.</w:t>
      </w:r>
    </w:p>
    <w:p w14:paraId="1AD0F5DC" w14:textId="33466ED3" w:rsidR="00A07A94" w:rsidRPr="000C3891" w:rsidRDefault="00A07A94" w:rsidP="001213E5">
      <w:pPr>
        <w:pStyle w:val="Textonotapie"/>
        <w:widowControl w:val="0"/>
        <w:spacing w:before="240"/>
        <w:ind w:firstLine="709"/>
        <w:jc w:val="both"/>
        <w:rPr>
          <w:rFonts w:ascii="Times New Roman" w:hAnsi="Times New Roman" w:cs="Times New Roman"/>
          <w:lang w:val="en-US"/>
        </w:rPr>
      </w:pPr>
      <w:r w:rsidRPr="000C3891">
        <w:rPr>
          <w:rFonts w:ascii="Times New Roman" w:hAnsi="Times New Roman" w:cs="Times New Roman"/>
        </w:rPr>
        <w:t xml:space="preserve">Calero, Á. (2021). El estado del bienestar español: valoración y perspectivas de futuro. </w:t>
      </w:r>
      <w:r w:rsidRPr="000C3891">
        <w:rPr>
          <w:rFonts w:ascii="Times New Roman" w:hAnsi="Times New Roman" w:cs="Times New Roman"/>
          <w:i/>
          <w:iCs/>
        </w:rPr>
        <w:t>Araucaria</w:t>
      </w:r>
      <w:r w:rsidRPr="000C3891">
        <w:rPr>
          <w:rFonts w:ascii="Times New Roman" w:hAnsi="Times New Roman" w:cs="Times New Roman"/>
        </w:rPr>
        <w:t xml:space="preserve">. </w:t>
      </w:r>
      <w:r w:rsidRPr="000C3891">
        <w:rPr>
          <w:rFonts w:ascii="Times New Roman" w:hAnsi="Times New Roman" w:cs="Times New Roman"/>
          <w:i/>
          <w:iCs/>
        </w:rPr>
        <w:t>Revista Iberoamericana de Filosofía, Política, Humanidades y Relaciones Internacionales</w:t>
      </w:r>
      <w:r w:rsidRPr="000C3891">
        <w:rPr>
          <w:rFonts w:ascii="Times New Roman" w:hAnsi="Times New Roman" w:cs="Times New Roman"/>
        </w:rPr>
        <w:t xml:space="preserve">, </w:t>
      </w:r>
      <w:r w:rsidRPr="000C3891">
        <w:rPr>
          <w:rFonts w:ascii="Times New Roman" w:hAnsi="Times New Roman" w:cs="Times New Roman"/>
          <w:i/>
          <w:iCs/>
        </w:rPr>
        <w:t>23</w:t>
      </w:r>
      <w:r w:rsidRPr="000C3891">
        <w:rPr>
          <w:rFonts w:ascii="Times New Roman" w:hAnsi="Times New Roman" w:cs="Times New Roman"/>
        </w:rPr>
        <w:t xml:space="preserve"> (47)</w:t>
      </w:r>
      <w:r w:rsidR="00431545" w:rsidRPr="000C3891">
        <w:rPr>
          <w:rFonts w:ascii="Times New Roman" w:hAnsi="Times New Roman" w:cs="Times New Roman"/>
        </w:rPr>
        <w:t>, 457-478.</w:t>
      </w:r>
      <w:r w:rsidR="0070601B" w:rsidRPr="000C3891">
        <w:rPr>
          <w:rFonts w:ascii="Times New Roman" w:hAnsi="Times New Roman" w:cs="Times New Roman"/>
        </w:rPr>
        <w:t xml:space="preserve"> </w:t>
      </w:r>
      <w:hyperlink r:id="rId18" w:history="1">
        <w:r w:rsidR="00B26004" w:rsidRPr="000C3891">
          <w:rPr>
            <w:rStyle w:val="Hipervnculo"/>
            <w:rFonts w:ascii="Times New Roman" w:hAnsi="Times New Roman" w:cs="Times New Roman"/>
            <w:lang w:val="en-US"/>
          </w:rPr>
          <w:t>https://doi.org/10.12795/araucaria.2021.i47.20</w:t>
        </w:r>
      </w:hyperlink>
      <w:r w:rsidR="00B26004" w:rsidRPr="000C3891">
        <w:rPr>
          <w:rFonts w:ascii="Times New Roman" w:hAnsi="Times New Roman" w:cs="Times New Roman"/>
          <w:lang w:val="en-US"/>
        </w:rPr>
        <w:t xml:space="preserve">. </w:t>
      </w:r>
    </w:p>
    <w:p w14:paraId="6350D0D5" w14:textId="41A92999" w:rsidR="00A07A94" w:rsidRPr="000C3891" w:rsidRDefault="00A07A94" w:rsidP="001213E5">
      <w:pPr>
        <w:pStyle w:val="Textonotapie"/>
        <w:widowControl w:val="0"/>
        <w:spacing w:before="240"/>
        <w:ind w:firstLine="709"/>
        <w:jc w:val="both"/>
        <w:rPr>
          <w:rFonts w:ascii="Times New Roman" w:hAnsi="Times New Roman" w:cs="Times New Roman"/>
          <w:lang w:val="en-US"/>
        </w:rPr>
      </w:pPr>
      <w:proofErr w:type="spellStart"/>
      <w:r w:rsidRPr="000C3891">
        <w:rPr>
          <w:rFonts w:ascii="Times New Roman" w:hAnsi="Times New Roman" w:cs="Times New Roman"/>
          <w:lang w:val="en-US"/>
        </w:rPr>
        <w:t>Carozzi</w:t>
      </w:r>
      <w:proofErr w:type="spellEnd"/>
      <w:r w:rsidRPr="000C3891">
        <w:rPr>
          <w:rFonts w:ascii="Times New Roman" w:hAnsi="Times New Roman" w:cs="Times New Roman"/>
          <w:lang w:val="en-US"/>
        </w:rPr>
        <w:t xml:space="preserve">, F., Hilber, C. </w:t>
      </w:r>
      <w:r w:rsidR="00B65861" w:rsidRPr="000C3891">
        <w:rPr>
          <w:rFonts w:ascii="Times New Roman" w:hAnsi="Times New Roman" w:cs="Times New Roman"/>
          <w:lang w:val="en-US"/>
        </w:rPr>
        <w:t>&amp;</w:t>
      </w:r>
      <w:r w:rsidRPr="000C3891">
        <w:rPr>
          <w:rFonts w:ascii="Times New Roman" w:hAnsi="Times New Roman" w:cs="Times New Roman"/>
          <w:lang w:val="en-US"/>
        </w:rPr>
        <w:t xml:space="preserve"> Y</w:t>
      </w:r>
      <w:r w:rsidR="00B26004" w:rsidRPr="000C3891">
        <w:rPr>
          <w:rFonts w:ascii="Times New Roman" w:hAnsi="Times New Roman" w:cs="Times New Roman"/>
          <w:lang w:val="en-US"/>
        </w:rPr>
        <w:t>u</w:t>
      </w:r>
      <w:r w:rsidRPr="000C3891">
        <w:rPr>
          <w:rFonts w:ascii="Times New Roman" w:hAnsi="Times New Roman" w:cs="Times New Roman"/>
          <w:lang w:val="en-US"/>
        </w:rPr>
        <w:t xml:space="preserve">, X. (2019). </w:t>
      </w:r>
      <w:r w:rsidRPr="000C3891">
        <w:rPr>
          <w:rFonts w:ascii="Times New Roman" w:hAnsi="Times New Roman" w:cs="Times New Roman"/>
          <w:i/>
          <w:iCs/>
          <w:lang w:val="en-US"/>
        </w:rPr>
        <w:t>The economic impacts of help to buy</w:t>
      </w:r>
      <w:r w:rsidRPr="000C3891">
        <w:rPr>
          <w:rFonts w:ascii="Times New Roman" w:hAnsi="Times New Roman" w:cs="Times New Roman"/>
          <w:lang w:val="en-US"/>
        </w:rPr>
        <w:t xml:space="preserve">. </w:t>
      </w:r>
      <w:proofErr w:type="spellStart"/>
      <w:r w:rsidR="007C3038" w:rsidRPr="000C3891">
        <w:rPr>
          <w:rFonts w:ascii="Times New Roman" w:hAnsi="Times New Roman" w:cs="Times New Roman"/>
          <w:lang w:val="en-US"/>
        </w:rPr>
        <w:t>Inrev</w:t>
      </w:r>
      <w:proofErr w:type="spellEnd"/>
      <w:r w:rsidR="00B26004" w:rsidRPr="000C3891">
        <w:rPr>
          <w:rFonts w:ascii="Times New Roman" w:hAnsi="Times New Roman" w:cs="Times New Roman"/>
          <w:lang w:val="en-US"/>
        </w:rPr>
        <w:t>.</w:t>
      </w:r>
      <w:r w:rsidRPr="000C3891">
        <w:rPr>
          <w:rFonts w:ascii="Times New Roman" w:hAnsi="Times New Roman" w:cs="Times New Roman"/>
          <w:lang w:val="en-US"/>
        </w:rPr>
        <w:t xml:space="preserve"> </w:t>
      </w:r>
      <w:hyperlink r:id="rId19" w:history="1">
        <w:r w:rsidRPr="000C3891">
          <w:rPr>
            <w:rStyle w:val="Hipervnculo"/>
            <w:rFonts w:ascii="Times New Roman" w:hAnsi="Times New Roman" w:cs="Times New Roman"/>
            <w:lang w:val="en-US"/>
          </w:rPr>
          <w:t>https://www.inrev.org/system/files/2019-10/NTRP-The-Economic-Impacts-of-Help-to-Buy-2019.pdf</w:t>
        </w:r>
      </w:hyperlink>
      <w:r w:rsidRPr="000C3891">
        <w:rPr>
          <w:rFonts w:ascii="Times New Roman" w:hAnsi="Times New Roman" w:cs="Times New Roman"/>
          <w:lang w:val="en-US"/>
        </w:rPr>
        <w:t xml:space="preserve">. </w:t>
      </w:r>
    </w:p>
    <w:p w14:paraId="768E1500" w14:textId="4EDF125B"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Fernández Maíllo, G. (coord.) (2019). </w:t>
      </w:r>
      <w:r w:rsidRPr="000C3891">
        <w:rPr>
          <w:rFonts w:ascii="Times New Roman" w:hAnsi="Times New Roman" w:cs="Times New Roman"/>
          <w:i/>
          <w:iCs/>
        </w:rPr>
        <w:t>VIII Informe sobre exclusión y desarrollo social en España 2019</w:t>
      </w:r>
      <w:r w:rsidRPr="000C3891">
        <w:rPr>
          <w:rFonts w:ascii="Times New Roman" w:hAnsi="Times New Roman" w:cs="Times New Roman"/>
        </w:rPr>
        <w:t xml:space="preserve">. Fundación </w:t>
      </w:r>
      <w:proofErr w:type="spellStart"/>
      <w:r w:rsidRPr="000C3891">
        <w:rPr>
          <w:rFonts w:ascii="Times New Roman" w:hAnsi="Times New Roman" w:cs="Times New Roman"/>
        </w:rPr>
        <w:t>Foessa</w:t>
      </w:r>
      <w:proofErr w:type="spellEnd"/>
      <w:r w:rsidR="00B26004" w:rsidRPr="000C3891">
        <w:rPr>
          <w:rFonts w:ascii="Times New Roman" w:hAnsi="Times New Roman" w:cs="Times New Roman"/>
        </w:rPr>
        <w:t>.</w:t>
      </w:r>
      <w:r w:rsidR="003B3475" w:rsidRPr="000C3891">
        <w:rPr>
          <w:rFonts w:ascii="Times New Roman" w:hAnsi="Times New Roman" w:cs="Times New Roman"/>
        </w:rPr>
        <w:t xml:space="preserve"> </w:t>
      </w:r>
      <w:hyperlink r:id="rId20" w:history="1">
        <w:r w:rsidR="003B3475" w:rsidRPr="000C3891">
          <w:rPr>
            <w:rStyle w:val="Hipervnculo"/>
            <w:rFonts w:ascii="Times New Roman" w:hAnsi="Times New Roman" w:cs="Times New Roman"/>
          </w:rPr>
          <w:t>https://www.foessa.es/main-files/uploads/sites/16/2019/06/Informe-FOESSA-2019_web-completo.pdf</w:t>
        </w:r>
      </w:hyperlink>
      <w:r w:rsidR="003B3475" w:rsidRPr="000C3891">
        <w:rPr>
          <w:rFonts w:ascii="Times New Roman" w:hAnsi="Times New Roman" w:cs="Times New Roman"/>
        </w:rPr>
        <w:t xml:space="preserve">. </w:t>
      </w:r>
    </w:p>
    <w:p w14:paraId="01590B07" w14:textId="704EB893" w:rsidR="00A07A94" w:rsidRPr="000C3891" w:rsidRDefault="00A07A94" w:rsidP="001213E5">
      <w:pPr>
        <w:pStyle w:val="Textonotapie"/>
        <w:widowControl w:val="0"/>
        <w:spacing w:before="240"/>
        <w:ind w:firstLine="709"/>
        <w:jc w:val="both"/>
        <w:rPr>
          <w:rFonts w:ascii="Times New Roman" w:hAnsi="Times New Roman" w:cs="Times New Roman"/>
        </w:rPr>
      </w:pPr>
      <w:proofErr w:type="spellStart"/>
      <w:r w:rsidRPr="000C3891">
        <w:rPr>
          <w:rFonts w:ascii="Times New Roman" w:hAnsi="Times New Roman" w:cs="Times New Roman"/>
        </w:rPr>
        <w:t>Garcia</w:t>
      </w:r>
      <w:proofErr w:type="spellEnd"/>
      <w:r w:rsidRPr="000C3891">
        <w:rPr>
          <w:rFonts w:ascii="Times New Roman" w:hAnsi="Times New Roman" w:cs="Times New Roman"/>
        </w:rPr>
        <w:t xml:space="preserve"> Teruel, R. M. </w:t>
      </w:r>
      <w:r w:rsidR="00B65861" w:rsidRPr="000C3891">
        <w:rPr>
          <w:rFonts w:ascii="Times New Roman" w:hAnsi="Times New Roman" w:cs="Times New Roman"/>
        </w:rPr>
        <w:t>&amp;</w:t>
      </w:r>
      <w:r w:rsidRPr="000C3891">
        <w:rPr>
          <w:rFonts w:ascii="Times New Roman" w:hAnsi="Times New Roman" w:cs="Times New Roman"/>
        </w:rPr>
        <w:t xml:space="preserve"> Nasarre Aznar, S. (2022). Quince años sin solución para la vivienda. La innovación legal y la ciencia de datos en política de vivienda. </w:t>
      </w:r>
      <w:r w:rsidRPr="000C3891">
        <w:rPr>
          <w:rFonts w:ascii="Times New Roman" w:hAnsi="Times New Roman" w:cs="Times New Roman"/>
          <w:i/>
          <w:iCs/>
        </w:rPr>
        <w:t>Revista Crítica de Derecho Inmobiliario</w:t>
      </w:r>
      <w:r w:rsidRPr="000C3891">
        <w:rPr>
          <w:rFonts w:ascii="Times New Roman" w:hAnsi="Times New Roman" w:cs="Times New Roman"/>
        </w:rPr>
        <w:t xml:space="preserve">, </w:t>
      </w:r>
      <w:r w:rsidR="00343904" w:rsidRPr="000C3891">
        <w:rPr>
          <w:rFonts w:ascii="Times New Roman" w:hAnsi="Times New Roman" w:cs="Times New Roman"/>
        </w:rPr>
        <w:t>(</w:t>
      </w:r>
      <w:r w:rsidRPr="000C3891">
        <w:rPr>
          <w:rFonts w:ascii="Times New Roman" w:hAnsi="Times New Roman" w:cs="Times New Roman"/>
        </w:rPr>
        <w:t>789</w:t>
      </w:r>
      <w:r w:rsidR="00343904" w:rsidRPr="000C3891">
        <w:rPr>
          <w:rFonts w:ascii="Times New Roman" w:hAnsi="Times New Roman" w:cs="Times New Roman"/>
        </w:rPr>
        <w:t>)</w:t>
      </w:r>
      <w:r w:rsidR="00483BC7" w:rsidRPr="000C3891">
        <w:rPr>
          <w:rFonts w:ascii="Times New Roman" w:hAnsi="Times New Roman" w:cs="Times New Roman"/>
        </w:rPr>
        <w:t>, 183-223.</w:t>
      </w:r>
    </w:p>
    <w:p w14:paraId="0D9DE611" w14:textId="7ED250A4"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Idoate, E. </w:t>
      </w:r>
      <w:r w:rsidR="00B65861" w:rsidRPr="000C3891">
        <w:rPr>
          <w:rFonts w:ascii="Times New Roman" w:hAnsi="Times New Roman" w:cs="Times New Roman"/>
        </w:rPr>
        <w:t xml:space="preserve">&amp; </w:t>
      </w:r>
      <w:r w:rsidRPr="000C3891">
        <w:rPr>
          <w:rFonts w:ascii="Times New Roman" w:hAnsi="Times New Roman" w:cs="Times New Roman"/>
        </w:rPr>
        <w:t xml:space="preserve">Molina, V. (2008). </w:t>
      </w:r>
      <w:proofErr w:type="spellStart"/>
      <w:r w:rsidRPr="000C3891">
        <w:rPr>
          <w:rFonts w:ascii="Times New Roman" w:hAnsi="Times New Roman" w:cs="Times New Roman"/>
          <w:i/>
          <w:iCs/>
        </w:rPr>
        <w:t>L’estat</w:t>
      </w:r>
      <w:proofErr w:type="spellEnd"/>
      <w:r w:rsidRPr="000C3891">
        <w:rPr>
          <w:rFonts w:ascii="Times New Roman" w:hAnsi="Times New Roman" w:cs="Times New Roman"/>
          <w:i/>
          <w:iCs/>
        </w:rPr>
        <w:t xml:space="preserve"> del </w:t>
      </w:r>
      <w:proofErr w:type="spellStart"/>
      <w:r w:rsidRPr="000C3891">
        <w:rPr>
          <w:rFonts w:ascii="Times New Roman" w:hAnsi="Times New Roman" w:cs="Times New Roman"/>
          <w:i/>
          <w:iCs/>
        </w:rPr>
        <w:t>benestar</w:t>
      </w:r>
      <w:proofErr w:type="spellEnd"/>
      <w:r w:rsidRPr="000C3891">
        <w:rPr>
          <w:rFonts w:ascii="Times New Roman" w:hAnsi="Times New Roman" w:cs="Times New Roman"/>
          <w:i/>
          <w:iCs/>
        </w:rPr>
        <w:t xml:space="preserve">. Una </w:t>
      </w:r>
      <w:proofErr w:type="spellStart"/>
      <w:r w:rsidRPr="000C3891">
        <w:rPr>
          <w:rFonts w:ascii="Times New Roman" w:hAnsi="Times New Roman" w:cs="Times New Roman"/>
          <w:i/>
          <w:iCs/>
        </w:rPr>
        <w:t>aproximacio</w:t>
      </w:r>
      <w:proofErr w:type="spellEnd"/>
      <w:r w:rsidRPr="000C3891">
        <w:rPr>
          <w:rFonts w:ascii="Times New Roman" w:hAnsi="Times New Roman" w:cs="Times New Roman"/>
          <w:i/>
          <w:iCs/>
        </w:rPr>
        <w:t xml:space="preserve">́ conceptual i </w:t>
      </w:r>
      <w:proofErr w:type="spellStart"/>
      <w:r w:rsidRPr="000C3891">
        <w:rPr>
          <w:rFonts w:ascii="Times New Roman" w:hAnsi="Times New Roman" w:cs="Times New Roman"/>
          <w:i/>
          <w:iCs/>
        </w:rPr>
        <w:t>estadística</w:t>
      </w:r>
      <w:proofErr w:type="spellEnd"/>
      <w:r w:rsidR="008670E6" w:rsidRPr="000C3891">
        <w:rPr>
          <w:rFonts w:ascii="Times New Roman" w:hAnsi="Times New Roman" w:cs="Times New Roman"/>
        </w:rPr>
        <w:t xml:space="preserve">. </w:t>
      </w:r>
      <w:r w:rsidRPr="000C3891">
        <w:rPr>
          <w:rFonts w:ascii="Times New Roman" w:hAnsi="Times New Roman" w:cs="Times New Roman"/>
        </w:rPr>
        <w:t>Generalitat de Catalunya</w:t>
      </w:r>
      <w:r w:rsidR="0028418B" w:rsidRPr="000C3891">
        <w:rPr>
          <w:rFonts w:ascii="Times New Roman" w:hAnsi="Times New Roman" w:cs="Times New Roman"/>
        </w:rPr>
        <w:t>.</w:t>
      </w:r>
      <w:r w:rsidRPr="000C3891">
        <w:rPr>
          <w:rFonts w:ascii="Times New Roman" w:hAnsi="Times New Roman" w:cs="Times New Roman"/>
        </w:rPr>
        <w:t xml:space="preserve"> </w:t>
      </w:r>
      <w:proofErr w:type="spellStart"/>
      <w:r w:rsidRPr="000C3891">
        <w:rPr>
          <w:rFonts w:ascii="Times New Roman" w:hAnsi="Times New Roman" w:cs="Times New Roman"/>
        </w:rPr>
        <w:t>Departament</w:t>
      </w:r>
      <w:proofErr w:type="spellEnd"/>
      <w:r w:rsidRPr="000C3891">
        <w:rPr>
          <w:rFonts w:ascii="Times New Roman" w:hAnsi="Times New Roman" w:cs="Times New Roman"/>
        </w:rPr>
        <w:t xml:space="preserve"> </w:t>
      </w:r>
      <w:proofErr w:type="spellStart"/>
      <w:r w:rsidRPr="000C3891">
        <w:rPr>
          <w:rFonts w:ascii="Times New Roman" w:hAnsi="Times New Roman" w:cs="Times New Roman"/>
        </w:rPr>
        <w:t>d’Economia</w:t>
      </w:r>
      <w:proofErr w:type="spellEnd"/>
      <w:r w:rsidRPr="000C3891">
        <w:rPr>
          <w:rFonts w:ascii="Times New Roman" w:hAnsi="Times New Roman" w:cs="Times New Roman"/>
        </w:rPr>
        <w:t xml:space="preserve"> i </w:t>
      </w:r>
      <w:proofErr w:type="spellStart"/>
      <w:r w:rsidRPr="000C3891">
        <w:rPr>
          <w:rFonts w:ascii="Times New Roman" w:hAnsi="Times New Roman" w:cs="Times New Roman"/>
        </w:rPr>
        <w:t>Finances</w:t>
      </w:r>
      <w:proofErr w:type="spellEnd"/>
      <w:r w:rsidR="0028418B" w:rsidRPr="000C3891">
        <w:rPr>
          <w:rFonts w:ascii="Times New Roman" w:hAnsi="Times New Roman" w:cs="Times New Roman"/>
        </w:rPr>
        <w:t>.</w:t>
      </w:r>
      <w:r w:rsidRPr="000C3891">
        <w:rPr>
          <w:rFonts w:ascii="Times New Roman" w:hAnsi="Times New Roman" w:cs="Times New Roman"/>
        </w:rPr>
        <w:t xml:space="preserve"> </w:t>
      </w:r>
      <w:hyperlink r:id="rId21" w:history="1">
        <w:r w:rsidRPr="000C3891">
          <w:rPr>
            <w:rStyle w:val="Hipervnculo"/>
            <w:rFonts w:ascii="Times New Roman" w:hAnsi="Times New Roman" w:cs="Times New Roman"/>
          </w:rPr>
          <w:t>https://economia.gencat.cat/web/.content/70_analisi_finances_publiques_financament_autonomic/arxius/estadistiques-informes/altres_informes/estat-benestar-aproximacio-conceptual-estadistica.pdf</w:t>
        </w:r>
      </w:hyperlink>
      <w:r w:rsidRPr="000C3891">
        <w:rPr>
          <w:rFonts w:ascii="Times New Roman" w:hAnsi="Times New Roman" w:cs="Times New Roman"/>
        </w:rPr>
        <w:t>.</w:t>
      </w:r>
    </w:p>
    <w:p w14:paraId="5B3805E4" w14:textId="2B649D61" w:rsidR="003758C7" w:rsidRPr="000C3891" w:rsidRDefault="003758C7" w:rsidP="001213E5">
      <w:pPr>
        <w:pStyle w:val="Textonotapie"/>
        <w:widowControl w:val="0"/>
        <w:spacing w:before="240"/>
        <w:ind w:firstLine="709"/>
        <w:jc w:val="both"/>
        <w:rPr>
          <w:rFonts w:ascii="Times New Roman" w:hAnsi="Times New Roman" w:cs="Times New Roman"/>
          <w:color w:val="000000" w:themeColor="text1"/>
        </w:rPr>
      </w:pPr>
      <w:r w:rsidRPr="000C3891">
        <w:rPr>
          <w:rFonts w:ascii="Times New Roman" w:hAnsi="Times New Roman" w:cs="Times New Roman"/>
          <w:color w:val="000000" w:themeColor="text1"/>
        </w:rPr>
        <w:t xml:space="preserve">De Inés, A. Guzmán, G., Verdaguer, M. </w:t>
      </w:r>
      <w:r w:rsidR="00B65861" w:rsidRPr="000C3891">
        <w:rPr>
          <w:rFonts w:ascii="Times New Roman" w:hAnsi="Times New Roman" w:cs="Times New Roman"/>
          <w:color w:val="000000" w:themeColor="text1"/>
        </w:rPr>
        <w:t>&amp;</w:t>
      </w:r>
      <w:r w:rsidRPr="000C3891">
        <w:rPr>
          <w:rFonts w:ascii="Times New Roman" w:hAnsi="Times New Roman" w:cs="Times New Roman"/>
          <w:color w:val="000000" w:themeColor="text1"/>
        </w:rPr>
        <w:t xml:space="preserve"> Contre</w:t>
      </w:r>
      <w:r w:rsidR="002F1B36" w:rsidRPr="000C3891">
        <w:rPr>
          <w:rFonts w:ascii="Times New Roman" w:hAnsi="Times New Roman" w:cs="Times New Roman"/>
          <w:color w:val="000000" w:themeColor="text1"/>
        </w:rPr>
        <w:t>ras, M. (2019).</w:t>
      </w:r>
      <w:r w:rsidRPr="000C3891">
        <w:rPr>
          <w:rFonts w:ascii="Times New Roman" w:hAnsi="Times New Roman" w:cs="Times New Roman"/>
          <w:color w:val="000000" w:themeColor="text1"/>
        </w:rPr>
        <w:t xml:space="preserve"> </w:t>
      </w:r>
      <w:proofErr w:type="spellStart"/>
      <w:r w:rsidRPr="000C3891">
        <w:rPr>
          <w:rFonts w:ascii="Times New Roman" w:hAnsi="Times New Roman" w:cs="Times New Roman"/>
          <w:i/>
          <w:iCs/>
          <w:color w:val="000000" w:themeColor="text1"/>
        </w:rPr>
        <w:t>Diagnosi</w:t>
      </w:r>
      <w:proofErr w:type="spellEnd"/>
      <w:r w:rsidRPr="000C3891">
        <w:rPr>
          <w:rFonts w:ascii="Times New Roman" w:hAnsi="Times New Roman" w:cs="Times New Roman"/>
          <w:i/>
          <w:iCs/>
          <w:color w:val="000000" w:themeColor="text1"/>
        </w:rPr>
        <w:t xml:space="preserve"> 2019. El </w:t>
      </w:r>
      <w:proofErr w:type="spellStart"/>
      <w:r w:rsidRPr="000C3891">
        <w:rPr>
          <w:rFonts w:ascii="Times New Roman" w:hAnsi="Times New Roman" w:cs="Times New Roman"/>
          <w:i/>
          <w:iCs/>
          <w:color w:val="000000" w:themeColor="text1"/>
        </w:rPr>
        <w:t>sensellarisme</w:t>
      </w:r>
      <w:proofErr w:type="spellEnd"/>
      <w:r w:rsidRPr="000C3891">
        <w:rPr>
          <w:rFonts w:ascii="Times New Roman" w:hAnsi="Times New Roman" w:cs="Times New Roman"/>
          <w:i/>
          <w:iCs/>
          <w:color w:val="000000" w:themeColor="text1"/>
        </w:rPr>
        <w:t xml:space="preserve"> a Barcelona. </w:t>
      </w:r>
      <w:proofErr w:type="spellStart"/>
      <w:r w:rsidRPr="000C3891">
        <w:rPr>
          <w:rFonts w:ascii="Times New Roman" w:hAnsi="Times New Roman" w:cs="Times New Roman"/>
          <w:i/>
          <w:iCs/>
          <w:color w:val="000000" w:themeColor="text1"/>
        </w:rPr>
        <w:t>Evolucio</w:t>
      </w:r>
      <w:proofErr w:type="spellEnd"/>
      <w:r w:rsidRPr="000C3891">
        <w:rPr>
          <w:rFonts w:ascii="Times New Roman" w:hAnsi="Times New Roman" w:cs="Times New Roman"/>
          <w:i/>
          <w:iCs/>
          <w:color w:val="000000" w:themeColor="text1"/>
        </w:rPr>
        <w:t xml:space="preserve">́ i </w:t>
      </w:r>
      <w:proofErr w:type="spellStart"/>
      <w:r w:rsidRPr="000C3891">
        <w:rPr>
          <w:rFonts w:ascii="Times New Roman" w:hAnsi="Times New Roman" w:cs="Times New Roman"/>
          <w:i/>
          <w:iCs/>
          <w:color w:val="000000" w:themeColor="text1"/>
        </w:rPr>
        <w:t>joves</w:t>
      </w:r>
      <w:proofErr w:type="spellEnd"/>
      <w:r w:rsidRPr="000C3891">
        <w:rPr>
          <w:rFonts w:ascii="Times New Roman" w:hAnsi="Times New Roman" w:cs="Times New Roman"/>
          <w:i/>
          <w:iCs/>
          <w:color w:val="000000" w:themeColor="text1"/>
        </w:rPr>
        <w:t xml:space="preserve"> en </w:t>
      </w:r>
      <w:proofErr w:type="spellStart"/>
      <w:r w:rsidRPr="000C3891">
        <w:rPr>
          <w:rFonts w:ascii="Times New Roman" w:hAnsi="Times New Roman" w:cs="Times New Roman"/>
          <w:i/>
          <w:iCs/>
          <w:color w:val="000000" w:themeColor="text1"/>
        </w:rPr>
        <w:t>situacio</w:t>
      </w:r>
      <w:proofErr w:type="spellEnd"/>
      <w:r w:rsidRPr="000C3891">
        <w:rPr>
          <w:rFonts w:ascii="Times New Roman" w:hAnsi="Times New Roman" w:cs="Times New Roman"/>
          <w:i/>
          <w:iCs/>
          <w:color w:val="000000" w:themeColor="text1"/>
        </w:rPr>
        <w:t xml:space="preserve">́ de </w:t>
      </w:r>
      <w:proofErr w:type="spellStart"/>
      <w:r w:rsidRPr="000C3891">
        <w:rPr>
          <w:rFonts w:ascii="Times New Roman" w:hAnsi="Times New Roman" w:cs="Times New Roman"/>
          <w:i/>
          <w:iCs/>
          <w:color w:val="000000" w:themeColor="text1"/>
        </w:rPr>
        <w:t>sensellarisme</w:t>
      </w:r>
      <w:proofErr w:type="spellEnd"/>
      <w:r w:rsidR="0028418B" w:rsidRPr="000C3891">
        <w:rPr>
          <w:rFonts w:ascii="Times New Roman" w:hAnsi="Times New Roman" w:cs="Times New Roman"/>
          <w:color w:val="000000" w:themeColor="text1"/>
        </w:rPr>
        <w:t>.</w:t>
      </w:r>
      <w:r w:rsidRPr="000C3891">
        <w:rPr>
          <w:rFonts w:ascii="Times New Roman" w:hAnsi="Times New Roman" w:cs="Times New Roman"/>
          <w:color w:val="000000" w:themeColor="text1"/>
        </w:rPr>
        <w:t xml:space="preserve"> Barcelona, </w:t>
      </w:r>
      <w:proofErr w:type="spellStart"/>
      <w:r w:rsidRPr="000C3891">
        <w:rPr>
          <w:rFonts w:ascii="Times New Roman" w:hAnsi="Times New Roman" w:cs="Times New Roman"/>
          <w:color w:val="000000" w:themeColor="text1"/>
        </w:rPr>
        <w:t>Xarxa</w:t>
      </w:r>
      <w:proofErr w:type="spellEnd"/>
      <w:r w:rsidRPr="000C3891">
        <w:rPr>
          <w:rFonts w:ascii="Times New Roman" w:hAnsi="Times New Roman" w:cs="Times New Roman"/>
          <w:color w:val="000000" w:themeColor="text1"/>
        </w:rPr>
        <w:t xml:space="preserve"> </w:t>
      </w:r>
      <w:proofErr w:type="spellStart"/>
      <w:r w:rsidRPr="000C3891">
        <w:rPr>
          <w:rFonts w:ascii="Times New Roman" w:hAnsi="Times New Roman" w:cs="Times New Roman"/>
          <w:color w:val="000000" w:themeColor="text1"/>
        </w:rPr>
        <w:t>d’Atencio</w:t>
      </w:r>
      <w:proofErr w:type="spellEnd"/>
      <w:r w:rsidRPr="000C3891">
        <w:rPr>
          <w:rFonts w:ascii="Times New Roman" w:hAnsi="Times New Roman" w:cs="Times New Roman"/>
          <w:color w:val="000000" w:themeColor="text1"/>
        </w:rPr>
        <w:t xml:space="preserve">́ a Persones </w:t>
      </w:r>
      <w:proofErr w:type="spellStart"/>
      <w:r w:rsidRPr="000C3891">
        <w:rPr>
          <w:rFonts w:ascii="Times New Roman" w:hAnsi="Times New Roman" w:cs="Times New Roman"/>
          <w:color w:val="000000" w:themeColor="text1"/>
        </w:rPr>
        <w:t>sense</w:t>
      </w:r>
      <w:proofErr w:type="spellEnd"/>
      <w:r w:rsidRPr="000C3891">
        <w:rPr>
          <w:rFonts w:ascii="Times New Roman" w:hAnsi="Times New Roman" w:cs="Times New Roman"/>
          <w:color w:val="000000" w:themeColor="text1"/>
        </w:rPr>
        <w:t xml:space="preserve"> llar de Barcelona</w:t>
      </w:r>
      <w:r w:rsidR="0028418B" w:rsidRPr="000C3891">
        <w:rPr>
          <w:rFonts w:ascii="Times New Roman" w:hAnsi="Times New Roman" w:cs="Times New Roman"/>
          <w:color w:val="000000" w:themeColor="text1"/>
        </w:rPr>
        <w:t>.</w:t>
      </w:r>
      <w:r w:rsidR="002F1B36" w:rsidRPr="000C3891">
        <w:rPr>
          <w:rFonts w:ascii="Times New Roman" w:hAnsi="Times New Roman" w:cs="Times New Roman"/>
          <w:color w:val="000000" w:themeColor="text1"/>
        </w:rPr>
        <w:t xml:space="preserve"> </w:t>
      </w:r>
      <w:hyperlink r:id="rId22" w:history="1">
        <w:r w:rsidR="00CC6EF2" w:rsidRPr="000C3891">
          <w:rPr>
            <w:rStyle w:val="Hipervnculo"/>
            <w:rFonts w:ascii="Times New Roman" w:hAnsi="Times New Roman" w:cs="Times New Roman"/>
          </w:rPr>
          <w:t>https://www.barcelona.cat/barcelonainclusiva/ca/2019/11/Diagnosi_sensellarisme_2019_WEB.pdf</w:t>
        </w:r>
      </w:hyperlink>
      <w:r w:rsidR="00CC6EF2" w:rsidRPr="000C3891">
        <w:rPr>
          <w:rFonts w:ascii="Times New Roman" w:hAnsi="Times New Roman" w:cs="Times New Roman"/>
          <w:color w:val="000000" w:themeColor="text1"/>
        </w:rPr>
        <w:t xml:space="preserve">. </w:t>
      </w:r>
    </w:p>
    <w:p w14:paraId="12C29AF8" w14:textId="656C9A56" w:rsidR="00A07A94" w:rsidRPr="000C3891" w:rsidRDefault="00A07A94" w:rsidP="001213E5">
      <w:pPr>
        <w:pStyle w:val="Textonotapie"/>
        <w:widowControl w:val="0"/>
        <w:spacing w:before="240"/>
        <w:ind w:firstLine="709"/>
        <w:jc w:val="both"/>
        <w:rPr>
          <w:rFonts w:ascii="Times New Roman" w:hAnsi="Times New Roman" w:cs="Times New Roman"/>
          <w:lang w:val="en-US"/>
        </w:rPr>
      </w:pPr>
      <w:proofErr w:type="spellStart"/>
      <w:r w:rsidRPr="000C3891">
        <w:rPr>
          <w:rFonts w:ascii="Times New Roman" w:hAnsi="Times New Roman" w:cs="Times New Roman"/>
          <w:lang w:val="en-US"/>
        </w:rPr>
        <w:t>Kholodilin</w:t>
      </w:r>
      <w:proofErr w:type="spellEnd"/>
      <w:r w:rsidRPr="000C3891">
        <w:rPr>
          <w:rFonts w:ascii="Times New Roman" w:hAnsi="Times New Roman" w:cs="Times New Roman"/>
          <w:lang w:val="en-US"/>
        </w:rPr>
        <w:t>, K. (</w:t>
      </w:r>
      <w:r w:rsidR="00BD51FA" w:rsidRPr="000C3891">
        <w:rPr>
          <w:rFonts w:ascii="Times New Roman" w:hAnsi="Times New Roman" w:cs="Times New Roman"/>
          <w:lang w:val="en-US"/>
        </w:rPr>
        <w:t>2024</w:t>
      </w:r>
      <w:r w:rsidRPr="000C3891">
        <w:rPr>
          <w:rFonts w:ascii="Times New Roman" w:hAnsi="Times New Roman" w:cs="Times New Roman"/>
          <w:lang w:val="en-US"/>
        </w:rPr>
        <w:t xml:space="preserve">). Rent control effects through the lens of empirical research: An almost complete review of the literature. </w:t>
      </w:r>
      <w:r w:rsidRPr="000C3891">
        <w:rPr>
          <w:rFonts w:ascii="Times New Roman" w:hAnsi="Times New Roman" w:cs="Times New Roman"/>
          <w:i/>
          <w:iCs/>
          <w:lang w:val="en-US"/>
        </w:rPr>
        <w:t>Journal of Housing Economics</w:t>
      </w:r>
      <w:r w:rsidRPr="000C3891">
        <w:rPr>
          <w:rFonts w:ascii="Times New Roman" w:hAnsi="Times New Roman" w:cs="Times New Roman"/>
          <w:lang w:val="en-US"/>
        </w:rPr>
        <w:t xml:space="preserve">, </w:t>
      </w:r>
      <w:r w:rsidRPr="000C3891">
        <w:rPr>
          <w:rFonts w:ascii="Times New Roman" w:hAnsi="Times New Roman" w:cs="Times New Roman"/>
          <w:i/>
          <w:iCs/>
          <w:lang w:val="en-US"/>
        </w:rPr>
        <w:t>63</w:t>
      </w:r>
      <w:r w:rsidRPr="000C3891">
        <w:rPr>
          <w:rFonts w:ascii="Times New Roman" w:hAnsi="Times New Roman" w:cs="Times New Roman"/>
          <w:lang w:val="en-US"/>
        </w:rPr>
        <w:t>.</w:t>
      </w:r>
      <w:r w:rsidR="00684519" w:rsidRPr="000C3891">
        <w:rPr>
          <w:rFonts w:ascii="Times New Roman" w:hAnsi="Times New Roman" w:cs="Times New Roman"/>
          <w:lang w:val="en-US"/>
        </w:rPr>
        <w:t xml:space="preserve"> </w:t>
      </w:r>
      <w:r w:rsidR="00684519" w:rsidRPr="000C3891">
        <w:rPr>
          <w:rFonts w:ascii="Times New Roman" w:hAnsi="Times New Roman" w:cs="Times New Roman"/>
          <w:lang w:val="en-US"/>
        </w:rPr>
        <w:lastRenderedPageBreak/>
        <w:t>https://www.sciencedirect.com/science/article/pii/S1051137724000020?via%3Dihub.</w:t>
      </w:r>
    </w:p>
    <w:p w14:paraId="31E0CAD0" w14:textId="097269C9" w:rsidR="00A07A94" w:rsidRPr="000C3891" w:rsidRDefault="00A07A94" w:rsidP="001213E5">
      <w:pPr>
        <w:pStyle w:val="Textonotapie"/>
        <w:widowControl w:val="0"/>
        <w:spacing w:before="240"/>
        <w:ind w:firstLine="709"/>
        <w:jc w:val="both"/>
        <w:rPr>
          <w:rFonts w:ascii="Times New Roman" w:hAnsi="Times New Roman" w:cs="Times New Roman"/>
        </w:rPr>
      </w:pPr>
      <w:proofErr w:type="spellStart"/>
      <w:r w:rsidRPr="000C3891">
        <w:rPr>
          <w:rFonts w:ascii="Times New Roman" w:hAnsi="Times New Roman" w:cs="Times New Roman"/>
        </w:rPr>
        <w:t>Lajer</w:t>
      </w:r>
      <w:proofErr w:type="spellEnd"/>
      <w:r w:rsidRPr="000C3891">
        <w:rPr>
          <w:rFonts w:ascii="Times New Roman" w:hAnsi="Times New Roman" w:cs="Times New Roman"/>
        </w:rPr>
        <w:t xml:space="preserve"> </w:t>
      </w:r>
      <w:proofErr w:type="spellStart"/>
      <w:r w:rsidRPr="000C3891">
        <w:rPr>
          <w:rFonts w:ascii="Times New Roman" w:hAnsi="Times New Roman" w:cs="Times New Roman"/>
        </w:rPr>
        <w:t>Baron</w:t>
      </w:r>
      <w:proofErr w:type="spellEnd"/>
      <w:r w:rsidRPr="000C3891">
        <w:rPr>
          <w:rFonts w:ascii="Times New Roman" w:hAnsi="Times New Roman" w:cs="Times New Roman"/>
        </w:rPr>
        <w:t xml:space="preserve">, A., López Rodríguez D. </w:t>
      </w:r>
      <w:r w:rsidR="00B65861" w:rsidRPr="000C3891">
        <w:rPr>
          <w:rFonts w:ascii="Times New Roman" w:hAnsi="Times New Roman" w:cs="Times New Roman"/>
        </w:rPr>
        <w:t xml:space="preserve">&amp; </w:t>
      </w:r>
      <w:r w:rsidRPr="000C3891">
        <w:rPr>
          <w:rFonts w:ascii="Times New Roman" w:hAnsi="Times New Roman" w:cs="Times New Roman"/>
        </w:rPr>
        <w:t xml:space="preserve">San Juan, L. (2024). </w:t>
      </w:r>
      <w:r w:rsidRPr="000C3891">
        <w:rPr>
          <w:rFonts w:ascii="Times New Roman" w:hAnsi="Times New Roman" w:cs="Times New Roman"/>
          <w:i/>
          <w:iCs/>
        </w:rPr>
        <w:t>El mercado de la vivienda residencial en España: evolución reciente y comparación internacional</w:t>
      </w:r>
      <w:r w:rsidR="00932831" w:rsidRPr="000C3891">
        <w:rPr>
          <w:rFonts w:ascii="Times New Roman" w:hAnsi="Times New Roman" w:cs="Times New Roman"/>
        </w:rPr>
        <w:t>.</w:t>
      </w:r>
      <w:r w:rsidRPr="000C3891">
        <w:rPr>
          <w:rFonts w:ascii="Times New Roman" w:hAnsi="Times New Roman" w:cs="Times New Roman"/>
        </w:rPr>
        <w:t xml:space="preserve"> Banco de España</w:t>
      </w:r>
      <w:r w:rsidR="00684519" w:rsidRPr="000C3891">
        <w:rPr>
          <w:rFonts w:ascii="Times New Roman" w:hAnsi="Times New Roman" w:cs="Times New Roman"/>
        </w:rPr>
        <w:t>.</w:t>
      </w:r>
      <w:r w:rsidRPr="000C3891">
        <w:rPr>
          <w:rFonts w:ascii="Times New Roman" w:hAnsi="Times New Roman" w:cs="Times New Roman"/>
        </w:rPr>
        <w:t xml:space="preserve"> </w:t>
      </w:r>
      <w:hyperlink r:id="rId23" w:history="1">
        <w:r w:rsidRPr="000C3891">
          <w:rPr>
            <w:rStyle w:val="Hipervnculo"/>
            <w:rFonts w:ascii="Times New Roman" w:hAnsi="Times New Roman" w:cs="Times New Roman"/>
          </w:rPr>
          <w:t>https://www.bde.es/wbe/es/publicaciones/analisis-economico-investigacion/documentos-ocasionales/el-mercado-de-la-vivienda-residencial-en-espana-evolucion-reciente-y-comparacion-internacional.html</w:t>
        </w:r>
      </w:hyperlink>
      <w:r w:rsidRPr="000C3891">
        <w:rPr>
          <w:rFonts w:ascii="Times New Roman" w:hAnsi="Times New Roman" w:cs="Times New Roman"/>
        </w:rPr>
        <w:t>.</w:t>
      </w:r>
    </w:p>
    <w:p w14:paraId="556D83A0" w14:textId="77777777" w:rsidR="00A07A94" w:rsidRPr="000C3891" w:rsidRDefault="00A07A94" w:rsidP="001213E5">
      <w:pPr>
        <w:pStyle w:val="Textonotapie"/>
        <w:widowControl w:val="0"/>
        <w:spacing w:before="240"/>
        <w:ind w:firstLine="709"/>
        <w:jc w:val="both"/>
        <w:rPr>
          <w:rFonts w:ascii="Times New Roman" w:hAnsi="Times New Roman" w:cs="Times New Roman"/>
        </w:rPr>
      </w:pPr>
      <w:proofErr w:type="spellStart"/>
      <w:r w:rsidRPr="000C3891">
        <w:rPr>
          <w:rFonts w:ascii="Times New Roman" w:hAnsi="Times New Roman" w:cs="Times New Roman"/>
        </w:rPr>
        <w:t>Lambea</w:t>
      </w:r>
      <w:proofErr w:type="spellEnd"/>
      <w:r w:rsidRPr="000C3891">
        <w:rPr>
          <w:rFonts w:ascii="Times New Roman" w:hAnsi="Times New Roman" w:cs="Times New Roman"/>
        </w:rPr>
        <w:t xml:space="preserve"> </w:t>
      </w:r>
      <w:proofErr w:type="spellStart"/>
      <w:r w:rsidRPr="000C3891">
        <w:rPr>
          <w:rFonts w:ascii="Times New Roman" w:hAnsi="Times New Roman" w:cs="Times New Roman"/>
        </w:rPr>
        <w:t>Llop</w:t>
      </w:r>
      <w:proofErr w:type="spellEnd"/>
      <w:r w:rsidRPr="000C3891">
        <w:rPr>
          <w:rFonts w:ascii="Times New Roman" w:hAnsi="Times New Roman" w:cs="Times New Roman"/>
        </w:rPr>
        <w:t xml:space="preserve">, N. (2022). </w:t>
      </w:r>
      <w:r w:rsidRPr="000C3891">
        <w:rPr>
          <w:rFonts w:ascii="Times New Roman" w:hAnsi="Times New Roman" w:cs="Times New Roman"/>
          <w:i/>
          <w:iCs/>
        </w:rPr>
        <w:t>La gestión de la vivienda social en clave europea</w:t>
      </w:r>
      <w:r w:rsidRPr="000C3891">
        <w:rPr>
          <w:rFonts w:ascii="Times New Roman" w:hAnsi="Times New Roman" w:cs="Times New Roman"/>
        </w:rPr>
        <w:t>. Tirant Lo Blanch.</w:t>
      </w:r>
    </w:p>
    <w:p w14:paraId="1BB0B3B6" w14:textId="77777777"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Nasarre Aznar, S. (2023). </w:t>
      </w:r>
      <w:r w:rsidRPr="000C3891">
        <w:rPr>
          <w:rFonts w:ascii="Times New Roman" w:hAnsi="Times New Roman" w:cs="Times New Roman"/>
          <w:i/>
          <w:iCs/>
        </w:rPr>
        <w:t>Los retos de la vivienda en clave europea</w:t>
      </w:r>
      <w:r w:rsidRPr="000C3891">
        <w:rPr>
          <w:rFonts w:ascii="Times New Roman" w:hAnsi="Times New Roman" w:cs="Times New Roman"/>
        </w:rPr>
        <w:t>. Fundación Disenso.</w:t>
      </w:r>
    </w:p>
    <w:p w14:paraId="2876C264" w14:textId="05510271"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Nasarre Aznar, S. (2022). </w:t>
      </w:r>
      <w:r w:rsidRPr="000C3891">
        <w:rPr>
          <w:rFonts w:ascii="Times New Roman" w:hAnsi="Times New Roman" w:cs="Times New Roman"/>
          <w:i/>
          <w:iCs/>
        </w:rPr>
        <w:t>El Proyecto de Ley de vivienda 2022</w:t>
      </w:r>
      <w:r w:rsidR="002B33EE" w:rsidRPr="000C3891">
        <w:rPr>
          <w:rFonts w:ascii="Times New Roman" w:hAnsi="Times New Roman" w:cs="Times New Roman"/>
        </w:rPr>
        <w:t>.</w:t>
      </w:r>
      <w:r w:rsidRPr="000C3891">
        <w:rPr>
          <w:rFonts w:ascii="Times New Roman" w:hAnsi="Times New Roman" w:cs="Times New Roman"/>
        </w:rPr>
        <w:t xml:space="preserve"> FEDEA, Apuntes de </w:t>
      </w:r>
      <w:proofErr w:type="spellStart"/>
      <w:r w:rsidRPr="000C3891">
        <w:rPr>
          <w:rFonts w:ascii="Times New Roman" w:hAnsi="Times New Roman" w:cs="Times New Roman"/>
        </w:rPr>
        <w:t>economía</w:t>
      </w:r>
      <w:proofErr w:type="spellEnd"/>
      <w:r w:rsidRPr="000C3891">
        <w:rPr>
          <w:rFonts w:ascii="Times New Roman" w:hAnsi="Times New Roman" w:cs="Times New Roman"/>
        </w:rPr>
        <w:t xml:space="preserve">, </w:t>
      </w:r>
      <w:r w:rsidRPr="000C3891">
        <w:rPr>
          <w:rFonts w:ascii="Times New Roman" w:hAnsi="Times New Roman" w:cs="Times New Roman"/>
          <w:i/>
          <w:iCs/>
        </w:rPr>
        <w:t>11</w:t>
      </w:r>
      <w:r w:rsidRPr="000C3891">
        <w:rPr>
          <w:rFonts w:ascii="Times New Roman" w:hAnsi="Times New Roman" w:cs="Times New Roman"/>
        </w:rPr>
        <w:t>.</w:t>
      </w:r>
    </w:p>
    <w:p w14:paraId="426181DA" w14:textId="0FD74D6F"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Nasarre Aznar, S. (2017). Cuestionando algunos mitos del acceso a la vivienda en España, en perspectiva europea. </w:t>
      </w:r>
      <w:r w:rsidRPr="000C3891">
        <w:rPr>
          <w:rFonts w:ascii="Times New Roman" w:hAnsi="Times New Roman" w:cs="Times New Roman"/>
          <w:i/>
          <w:iCs/>
        </w:rPr>
        <w:t>Cuadernos de Relaciones Laborales</w:t>
      </w:r>
      <w:r w:rsidRPr="000C3891">
        <w:rPr>
          <w:rFonts w:ascii="Times New Roman" w:hAnsi="Times New Roman" w:cs="Times New Roman"/>
        </w:rPr>
        <w:t xml:space="preserve">, </w:t>
      </w:r>
      <w:r w:rsidRPr="000C3891">
        <w:rPr>
          <w:rFonts w:ascii="Times New Roman" w:hAnsi="Times New Roman" w:cs="Times New Roman"/>
          <w:i/>
          <w:iCs/>
        </w:rPr>
        <w:t>35</w:t>
      </w:r>
      <w:r w:rsidRPr="000C3891">
        <w:rPr>
          <w:rFonts w:ascii="Times New Roman" w:hAnsi="Times New Roman" w:cs="Times New Roman"/>
        </w:rPr>
        <w:t>(1)</w:t>
      </w:r>
      <w:r w:rsidR="004C2D34" w:rsidRPr="000C3891">
        <w:rPr>
          <w:rFonts w:ascii="Times New Roman" w:hAnsi="Times New Roman" w:cs="Times New Roman"/>
        </w:rPr>
        <w:t>, 43-69.</w:t>
      </w:r>
      <w:r w:rsidR="00951DF9" w:rsidRPr="000C3891">
        <w:rPr>
          <w:rFonts w:ascii="Times New Roman" w:hAnsi="Times New Roman" w:cs="Times New Roman"/>
        </w:rPr>
        <w:t xml:space="preserve"> </w:t>
      </w:r>
      <w:hyperlink r:id="rId24" w:history="1">
        <w:r w:rsidR="00951DF9" w:rsidRPr="000C3891">
          <w:rPr>
            <w:rStyle w:val="Hipervnculo"/>
            <w:rFonts w:ascii="Times New Roman" w:hAnsi="Times New Roman" w:cs="Times New Roman"/>
          </w:rPr>
          <w:t>https://doi.org/10.5209/CRLA.54983</w:t>
        </w:r>
      </w:hyperlink>
      <w:r w:rsidR="00951DF9" w:rsidRPr="000C3891">
        <w:rPr>
          <w:rFonts w:ascii="Times New Roman" w:hAnsi="Times New Roman" w:cs="Times New Roman"/>
        </w:rPr>
        <w:t>.</w:t>
      </w:r>
    </w:p>
    <w:p w14:paraId="142C9B72" w14:textId="51C242C6"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Nasarre-Aznar, S., Olinda </w:t>
      </w:r>
      <w:proofErr w:type="spellStart"/>
      <w:r w:rsidRPr="000C3891">
        <w:rPr>
          <w:rFonts w:ascii="Times New Roman" w:hAnsi="Times New Roman" w:cs="Times New Roman"/>
        </w:rPr>
        <w:t>Garcia</w:t>
      </w:r>
      <w:proofErr w:type="spellEnd"/>
      <w:r w:rsidRPr="000C3891">
        <w:rPr>
          <w:rFonts w:ascii="Times New Roman" w:hAnsi="Times New Roman" w:cs="Times New Roman"/>
        </w:rPr>
        <w:t xml:space="preserve">, M. </w:t>
      </w:r>
      <w:r w:rsidR="00B65861" w:rsidRPr="000C3891">
        <w:rPr>
          <w:rFonts w:ascii="Times New Roman" w:hAnsi="Times New Roman" w:cs="Times New Roman"/>
        </w:rPr>
        <w:t>&amp;</w:t>
      </w:r>
      <w:r w:rsidRPr="000C3891">
        <w:rPr>
          <w:rFonts w:ascii="Times New Roman" w:hAnsi="Times New Roman" w:cs="Times New Roman"/>
        </w:rPr>
        <w:t xml:space="preserve"> </w:t>
      </w:r>
      <w:proofErr w:type="spellStart"/>
      <w:r w:rsidRPr="000C3891">
        <w:rPr>
          <w:rFonts w:ascii="Times New Roman" w:hAnsi="Times New Roman" w:cs="Times New Roman"/>
        </w:rPr>
        <w:t>Xerri</w:t>
      </w:r>
      <w:proofErr w:type="spellEnd"/>
      <w:r w:rsidRPr="000C3891">
        <w:rPr>
          <w:rFonts w:ascii="Times New Roman" w:hAnsi="Times New Roman" w:cs="Times New Roman"/>
        </w:rPr>
        <w:t xml:space="preserve">, K. (2014). ¿Puede ser el alquiler una alternativa real al dominio como forma de acceso a la vivienda? Una comparativa legal Portugal-España-Malta. </w:t>
      </w:r>
      <w:r w:rsidRPr="000C3891">
        <w:rPr>
          <w:rFonts w:ascii="Times New Roman" w:hAnsi="Times New Roman" w:cs="Times New Roman"/>
          <w:i/>
          <w:iCs/>
        </w:rPr>
        <w:t>Teoría y Derecho: Revista de Pensamiento Jurídico</w:t>
      </w:r>
      <w:r w:rsidRPr="000C3891">
        <w:rPr>
          <w:rFonts w:ascii="Times New Roman" w:hAnsi="Times New Roman" w:cs="Times New Roman"/>
        </w:rPr>
        <w:t xml:space="preserve">, </w:t>
      </w:r>
      <w:r w:rsidRPr="000C3891">
        <w:rPr>
          <w:rFonts w:ascii="Times New Roman" w:hAnsi="Times New Roman" w:cs="Times New Roman"/>
          <w:i/>
          <w:iCs/>
        </w:rPr>
        <w:t>16</w:t>
      </w:r>
      <w:r w:rsidRPr="000C3891">
        <w:rPr>
          <w:rFonts w:ascii="Times New Roman" w:hAnsi="Times New Roman" w:cs="Times New Roman"/>
        </w:rPr>
        <w:t>.</w:t>
      </w:r>
    </w:p>
    <w:p w14:paraId="4F0DAA7E" w14:textId="245F6158" w:rsidR="00A07A94" w:rsidRPr="000C3891" w:rsidRDefault="00A07A94" w:rsidP="001213E5">
      <w:pPr>
        <w:widowControl w:val="0"/>
        <w:spacing w:before="240"/>
        <w:ind w:firstLine="709"/>
        <w:jc w:val="both"/>
        <w:rPr>
          <w:rFonts w:ascii="Times New Roman" w:hAnsi="Times New Roman" w:cs="Times New Roman"/>
          <w:lang w:val="en-US"/>
        </w:rPr>
      </w:pPr>
      <w:r w:rsidRPr="000C3891">
        <w:rPr>
          <w:rFonts w:ascii="Times New Roman" w:hAnsi="Times New Roman" w:cs="Times New Roman"/>
          <w:lang w:val="en-US"/>
        </w:rPr>
        <w:t xml:space="preserve">Novy, A., </w:t>
      </w:r>
      <w:proofErr w:type="spellStart"/>
      <w:r w:rsidRPr="000C3891">
        <w:rPr>
          <w:rFonts w:ascii="Times New Roman" w:hAnsi="Times New Roman" w:cs="Times New Roman"/>
          <w:lang w:val="en-US"/>
        </w:rPr>
        <w:t>Redak</w:t>
      </w:r>
      <w:proofErr w:type="spellEnd"/>
      <w:r w:rsidRPr="000C3891">
        <w:rPr>
          <w:rFonts w:ascii="Times New Roman" w:hAnsi="Times New Roman" w:cs="Times New Roman"/>
          <w:lang w:val="en-US"/>
        </w:rPr>
        <w:t xml:space="preserve">, V. </w:t>
      </w:r>
      <w:r w:rsidR="00474AF2" w:rsidRPr="000C3891">
        <w:rPr>
          <w:rFonts w:ascii="Times New Roman" w:hAnsi="Times New Roman" w:cs="Times New Roman"/>
          <w:lang w:val="en-US"/>
        </w:rPr>
        <w:t>&amp;</w:t>
      </w:r>
      <w:r w:rsidRPr="000C3891">
        <w:rPr>
          <w:rFonts w:ascii="Times New Roman" w:hAnsi="Times New Roman" w:cs="Times New Roman"/>
          <w:lang w:val="en-US"/>
        </w:rPr>
        <w:t xml:space="preserve"> </w:t>
      </w:r>
      <w:proofErr w:type="spellStart"/>
      <w:r w:rsidRPr="000C3891">
        <w:rPr>
          <w:rFonts w:ascii="Times New Roman" w:hAnsi="Times New Roman" w:cs="Times New Roman"/>
          <w:lang w:val="en-US"/>
        </w:rPr>
        <w:t>Hamedinger</w:t>
      </w:r>
      <w:proofErr w:type="spellEnd"/>
      <w:r w:rsidRPr="000C3891">
        <w:rPr>
          <w:rFonts w:ascii="Times New Roman" w:hAnsi="Times New Roman" w:cs="Times New Roman"/>
          <w:lang w:val="en-US"/>
        </w:rPr>
        <w:t xml:space="preserve">, A. (2001). The End of Red Vienna: Recent Ruptures and Continuities in Urban Governance. </w:t>
      </w:r>
      <w:r w:rsidRPr="000C3891">
        <w:rPr>
          <w:rFonts w:ascii="Times New Roman" w:hAnsi="Times New Roman" w:cs="Times New Roman"/>
          <w:i/>
          <w:iCs/>
          <w:lang w:val="en-US"/>
        </w:rPr>
        <w:t>European Urban and Regional Studies</w:t>
      </w:r>
      <w:r w:rsidRPr="000C3891">
        <w:rPr>
          <w:rFonts w:ascii="Times New Roman" w:hAnsi="Times New Roman" w:cs="Times New Roman"/>
          <w:lang w:val="en-US"/>
        </w:rPr>
        <w:t xml:space="preserve">, </w:t>
      </w:r>
      <w:r w:rsidRPr="000C3891">
        <w:rPr>
          <w:rFonts w:ascii="Times New Roman" w:hAnsi="Times New Roman" w:cs="Times New Roman"/>
          <w:i/>
          <w:iCs/>
          <w:lang w:val="en-US"/>
        </w:rPr>
        <w:t>8</w:t>
      </w:r>
      <w:r w:rsidRPr="000C3891">
        <w:rPr>
          <w:rFonts w:ascii="Times New Roman" w:hAnsi="Times New Roman" w:cs="Times New Roman"/>
          <w:lang w:val="en-US"/>
        </w:rPr>
        <w:t>(2)</w:t>
      </w:r>
      <w:r w:rsidR="00EA35FC" w:rsidRPr="000C3891">
        <w:rPr>
          <w:rFonts w:ascii="Times New Roman" w:hAnsi="Times New Roman" w:cs="Times New Roman"/>
          <w:lang w:val="en-US"/>
        </w:rPr>
        <w:t xml:space="preserve">, 131-144. </w:t>
      </w:r>
      <w:hyperlink r:id="rId25" w:history="1">
        <w:r w:rsidR="000C7223" w:rsidRPr="000C3891">
          <w:rPr>
            <w:rStyle w:val="Hipervnculo"/>
            <w:rFonts w:ascii="Times New Roman" w:hAnsi="Times New Roman" w:cs="Times New Roman"/>
            <w:lang w:val="en-US"/>
          </w:rPr>
          <w:t>https://doi.org/10.1177/09697764010080020</w:t>
        </w:r>
      </w:hyperlink>
      <w:r w:rsidR="000C7223" w:rsidRPr="000C3891">
        <w:rPr>
          <w:rFonts w:ascii="Times New Roman" w:hAnsi="Times New Roman" w:cs="Times New Roman"/>
          <w:lang w:val="en-US"/>
        </w:rPr>
        <w:t xml:space="preserve">. </w:t>
      </w:r>
    </w:p>
    <w:p w14:paraId="7C4A9713" w14:textId="32B65495" w:rsidR="00425E2D" w:rsidRPr="000C3891" w:rsidRDefault="00425E2D" w:rsidP="001213E5">
      <w:pPr>
        <w:widowControl w:val="0"/>
        <w:spacing w:before="240"/>
        <w:ind w:firstLine="709"/>
        <w:jc w:val="both"/>
        <w:rPr>
          <w:rFonts w:ascii="Times New Roman" w:hAnsi="Times New Roman" w:cs="Times New Roman"/>
        </w:rPr>
      </w:pPr>
      <w:r w:rsidRPr="000C3891">
        <w:rPr>
          <w:rFonts w:ascii="Times New Roman" w:hAnsi="Times New Roman" w:cs="Times New Roman"/>
        </w:rPr>
        <w:t xml:space="preserve">Observatorio de Vivienda y Suelo (2020). </w:t>
      </w:r>
      <w:r w:rsidRPr="000C3891">
        <w:rPr>
          <w:rFonts w:ascii="Times New Roman" w:hAnsi="Times New Roman" w:cs="Times New Roman"/>
          <w:i/>
          <w:iCs/>
        </w:rPr>
        <w:t>Boletín especial de Vivienda Social 2020</w:t>
      </w:r>
      <w:r w:rsidRPr="000C3891">
        <w:rPr>
          <w:rFonts w:ascii="Times New Roman" w:hAnsi="Times New Roman" w:cs="Times New Roman"/>
        </w:rPr>
        <w:t xml:space="preserve">. </w:t>
      </w:r>
      <w:r w:rsidRPr="000C3891">
        <w:rPr>
          <w:rFonts w:ascii="Times New Roman" w:hAnsi="Times New Roman" w:cs="Times New Roman"/>
          <w:color w:val="404040"/>
          <w:kern w:val="0"/>
          <w:lang w:val="es-ES_tradnl"/>
        </w:rPr>
        <w:t>Ministerio de Transportes, Movilidad y Agenda Urbana</w:t>
      </w:r>
      <w:r w:rsidRPr="000C3891">
        <w:rPr>
          <w:rFonts w:ascii="Times New Roman" w:hAnsi="Times New Roman" w:cs="Times New Roman"/>
        </w:rPr>
        <w:t>.</w:t>
      </w:r>
    </w:p>
    <w:p w14:paraId="2D24D99E" w14:textId="26872589"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lang w:val="en-US"/>
        </w:rPr>
        <w:t xml:space="preserve">Olazabal, E. </w:t>
      </w:r>
      <w:r w:rsidR="00951DF9" w:rsidRPr="000C3891">
        <w:rPr>
          <w:rFonts w:ascii="Times New Roman" w:hAnsi="Times New Roman" w:cs="Times New Roman"/>
          <w:lang w:val="en-US"/>
        </w:rPr>
        <w:t xml:space="preserve">&amp; </w:t>
      </w:r>
      <w:r w:rsidRPr="000C3891">
        <w:rPr>
          <w:rFonts w:ascii="Times New Roman" w:hAnsi="Times New Roman" w:cs="Times New Roman"/>
          <w:lang w:val="en-US"/>
        </w:rPr>
        <w:t xml:space="preserve">Bellet, C. (2017). </w:t>
      </w:r>
      <w:r w:rsidRPr="000C3891">
        <w:rPr>
          <w:rFonts w:ascii="Times New Roman" w:hAnsi="Times New Roman" w:cs="Times New Roman"/>
        </w:rPr>
        <w:t xml:space="preserve">De la ciudad compacta a la ciudad extensa. Procesos de urbanización recientes en áreas urbanas españolas articuladas por ciudades medias. </w:t>
      </w:r>
      <w:r w:rsidRPr="000C3891">
        <w:rPr>
          <w:rFonts w:ascii="Times New Roman" w:hAnsi="Times New Roman" w:cs="Times New Roman"/>
          <w:i/>
          <w:iCs/>
        </w:rPr>
        <w:t>Anales de Geografía de la Universidad Complutense</w:t>
      </w:r>
      <w:r w:rsidRPr="000C3891">
        <w:rPr>
          <w:rFonts w:ascii="Times New Roman" w:hAnsi="Times New Roman" w:cs="Times New Roman"/>
        </w:rPr>
        <w:t xml:space="preserve">, </w:t>
      </w:r>
      <w:r w:rsidRPr="000C3891">
        <w:rPr>
          <w:rFonts w:ascii="Times New Roman" w:hAnsi="Times New Roman" w:cs="Times New Roman"/>
          <w:i/>
          <w:iCs/>
        </w:rPr>
        <w:t>39</w:t>
      </w:r>
      <w:r w:rsidRPr="000C3891">
        <w:rPr>
          <w:rFonts w:ascii="Times New Roman" w:hAnsi="Times New Roman" w:cs="Times New Roman"/>
        </w:rPr>
        <w:t>(1)</w:t>
      </w:r>
      <w:r w:rsidR="00080A95" w:rsidRPr="000C3891">
        <w:rPr>
          <w:rFonts w:ascii="Times New Roman" w:hAnsi="Times New Roman" w:cs="Times New Roman"/>
        </w:rPr>
        <w:t>, 149-175</w:t>
      </w:r>
      <w:r w:rsidRPr="000C3891">
        <w:rPr>
          <w:rFonts w:ascii="Times New Roman" w:hAnsi="Times New Roman" w:cs="Times New Roman"/>
        </w:rPr>
        <w:t xml:space="preserve">. </w:t>
      </w:r>
      <w:hyperlink r:id="rId26" w:history="1">
        <w:r w:rsidR="00080A95" w:rsidRPr="000C3891">
          <w:rPr>
            <w:rStyle w:val="Hipervnculo"/>
            <w:rFonts w:ascii="Times New Roman" w:hAnsi="Times New Roman" w:cs="Times New Roman"/>
          </w:rPr>
          <w:t>https://doi.org/10.5209/aguc.64681</w:t>
        </w:r>
      </w:hyperlink>
      <w:r w:rsidR="00080A95" w:rsidRPr="000C3891">
        <w:rPr>
          <w:rFonts w:ascii="Times New Roman" w:hAnsi="Times New Roman" w:cs="Times New Roman"/>
        </w:rPr>
        <w:t xml:space="preserve">. </w:t>
      </w:r>
    </w:p>
    <w:p w14:paraId="792F9EDB" w14:textId="3407EFC5" w:rsidR="003E3582" w:rsidRPr="000C3891" w:rsidRDefault="003E3582" w:rsidP="001213E5">
      <w:pPr>
        <w:widowControl w:val="0"/>
        <w:spacing w:before="240"/>
        <w:ind w:firstLine="709"/>
        <w:jc w:val="both"/>
        <w:rPr>
          <w:rFonts w:ascii="Times New Roman" w:hAnsi="Times New Roman" w:cs="Times New Roman"/>
        </w:rPr>
      </w:pPr>
      <w:proofErr w:type="spellStart"/>
      <w:r w:rsidRPr="000C3891">
        <w:rPr>
          <w:rFonts w:ascii="Times New Roman" w:hAnsi="Times New Roman" w:cs="Times New Roman"/>
        </w:rPr>
        <w:t>Penya</w:t>
      </w:r>
      <w:proofErr w:type="spellEnd"/>
      <w:r w:rsidRPr="000C3891">
        <w:rPr>
          <w:rFonts w:ascii="Times New Roman" w:hAnsi="Times New Roman" w:cs="Times New Roman"/>
        </w:rPr>
        <w:t xml:space="preserve"> i Guilarte, M. </w:t>
      </w:r>
      <w:r w:rsidR="00474AF2" w:rsidRPr="000C3891">
        <w:rPr>
          <w:rFonts w:ascii="Times New Roman" w:hAnsi="Times New Roman" w:cs="Times New Roman"/>
        </w:rPr>
        <w:t>&amp;</w:t>
      </w:r>
      <w:r w:rsidRPr="000C3891">
        <w:rPr>
          <w:rFonts w:ascii="Times New Roman" w:hAnsi="Times New Roman" w:cs="Times New Roman"/>
        </w:rPr>
        <w:t xml:space="preserve"> </w:t>
      </w:r>
      <w:proofErr w:type="spellStart"/>
      <w:r w:rsidRPr="000C3891">
        <w:rPr>
          <w:rFonts w:ascii="Times New Roman" w:hAnsi="Times New Roman" w:cs="Times New Roman"/>
        </w:rPr>
        <w:t>Maranillo</w:t>
      </w:r>
      <w:proofErr w:type="spellEnd"/>
      <w:r w:rsidRPr="000C3891">
        <w:rPr>
          <w:rFonts w:ascii="Times New Roman" w:hAnsi="Times New Roman" w:cs="Times New Roman"/>
        </w:rPr>
        <w:t xml:space="preserve">-Castillo, L. (2022). Invisibles, vulnerables, pero resilientes: Mujeres migrantes en situación de sinhogarismo y estrategias de supervivencia femeninas. </w:t>
      </w:r>
      <w:r w:rsidRPr="000C3891">
        <w:rPr>
          <w:rFonts w:ascii="Times New Roman" w:hAnsi="Times New Roman" w:cs="Times New Roman"/>
          <w:i/>
          <w:iCs/>
        </w:rPr>
        <w:t>Feminismo/s</w:t>
      </w:r>
      <w:r w:rsidRPr="000C3891">
        <w:rPr>
          <w:rFonts w:ascii="Times New Roman" w:hAnsi="Times New Roman" w:cs="Times New Roman"/>
        </w:rPr>
        <w:t xml:space="preserve">, </w:t>
      </w:r>
      <w:r w:rsidRPr="000C3891">
        <w:rPr>
          <w:rFonts w:ascii="Times New Roman" w:hAnsi="Times New Roman" w:cs="Times New Roman"/>
          <w:i/>
          <w:iCs/>
        </w:rPr>
        <w:t>40</w:t>
      </w:r>
      <w:r w:rsidRPr="000C3891">
        <w:rPr>
          <w:rFonts w:ascii="Times New Roman" w:hAnsi="Times New Roman" w:cs="Times New Roman"/>
        </w:rPr>
        <w:t>, 305–335. https://doi.org/10.14198/fem.2022.40.13</w:t>
      </w:r>
      <w:r w:rsidR="00800BBA" w:rsidRPr="000C3891">
        <w:rPr>
          <w:rFonts w:ascii="Times New Roman" w:hAnsi="Times New Roman" w:cs="Times New Roman"/>
        </w:rPr>
        <w:t>.</w:t>
      </w:r>
    </w:p>
    <w:p w14:paraId="0EDCA5B3" w14:textId="738E825D" w:rsidR="0029513E" w:rsidRPr="000C3891" w:rsidRDefault="0029513E" w:rsidP="001213E5">
      <w:pPr>
        <w:widowControl w:val="0"/>
        <w:spacing w:before="240"/>
        <w:ind w:firstLine="709"/>
        <w:jc w:val="both"/>
        <w:rPr>
          <w:rFonts w:ascii="Times New Roman" w:hAnsi="Times New Roman" w:cs="Times New Roman"/>
        </w:rPr>
      </w:pPr>
      <w:proofErr w:type="spellStart"/>
      <w:r w:rsidRPr="000C3891">
        <w:rPr>
          <w:rFonts w:ascii="Times New Roman" w:hAnsi="Times New Roman" w:cs="Times New Roman"/>
        </w:rPr>
        <w:t>Sandulli</w:t>
      </w:r>
      <w:proofErr w:type="spellEnd"/>
      <w:r w:rsidRPr="000C3891">
        <w:rPr>
          <w:rFonts w:ascii="Times New Roman" w:hAnsi="Times New Roman" w:cs="Times New Roman"/>
        </w:rPr>
        <w:t xml:space="preserve">, F. (2023). </w:t>
      </w:r>
      <w:r w:rsidRPr="000C3891">
        <w:rPr>
          <w:rFonts w:ascii="Times New Roman" w:hAnsi="Times New Roman" w:cs="Times New Roman"/>
          <w:i/>
          <w:iCs/>
        </w:rPr>
        <w:t>El impacto de las viviendas de uso turístico en España</w:t>
      </w:r>
      <w:r w:rsidRPr="000C3891">
        <w:rPr>
          <w:rFonts w:ascii="Times New Roman" w:hAnsi="Times New Roman" w:cs="Times New Roman"/>
        </w:rPr>
        <w:t>.</w:t>
      </w:r>
      <w:r w:rsidR="00AB2266" w:rsidRPr="000C3891">
        <w:rPr>
          <w:rFonts w:ascii="Times New Roman" w:hAnsi="Times New Roman" w:cs="Times New Roman"/>
        </w:rPr>
        <w:t xml:space="preserve"> https://www.democrata.es/wp-content/uploads/2024/04/Informe-Francesco-Sandulli-I-El-impacto-de-las-VUT-en-Espana.pdf.</w:t>
      </w:r>
    </w:p>
    <w:p w14:paraId="6EBC7686" w14:textId="29B7AF65"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Simón Moreno, H. (2023). La evolución constitucional de la función social de la propiedad y el nuevo régimen del derecho de propiedad sobre una vivienda en la Ley por el derecho a la vivienda. </w:t>
      </w:r>
      <w:r w:rsidRPr="000C3891">
        <w:rPr>
          <w:rFonts w:ascii="Times New Roman" w:hAnsi="Times New Roman" w:cs="Times New Roman"/>
          <w:i/>
          <w:iCs/>
        </w:rPr>
        <w:t>Derecho Privado y Constitución</w:t>
      </w:r>
      <w:r w:rsidRPr="000C3891">
        <w:rPr>
          <w:rFonts w:ascii="Times New Roman" w:hAnsi="Times New Roman" w:cs="Times New Roman"/>
        </w:rPr>
        <w:t xml:space="preserve">, </w:t>
      </w:r>
      <w:r w:rsidRPr="000C3891">
        <w:rPr>
          <w:rFonts w:ascii="Times New Roman" w:hAnsi="Times New Roman" w:cs="Times New Roman"/>
          <w:i/>
          <w:iCs/>
        </w:rPr>
        <w:t>42</w:t>
      </w:r>
      <w:r w:rsidR="000346D0" w:rsidRPr="000C3891">
        <w:rPr>
          <w:rFonts w:ascii="Times New Roman" w:hAnsi="Times New Roman" w:cs="Times New Roman"/>
        </w:rPr>
        <w:t xml:space="preserve">, 139-177, </w:t>
      </w:r>
      <w:hyperlink r:id="rId27" w:history="1">
        <w:r w:rsidR="000346D0" w:rsidRPr="000C3891">
          <w:rPr>
            <w:rStyle w:val="Hipervnculo"/>
            <w:rFonts w:ascii="Times New Roman" w:hAnsi="Times New Roman" w:cs="Times New Roman"/>
          </w:rPr>
          <w:t>https://doi.org/10.18042/cepc/dpc.42.04</w:t>
        </w:r>
      </w:hyperlink>
      <w:r w:rsidR="00084AE7" w:rsidRPr="000C3891">
        <w:rPr>
          <w:rFonts w:ascii="Times New Roman" w:hAnsi="Times New Roman" w:cs="Times New Roman"/>
        </w:rPr>
        <w:t>.</w:t>
      </w:r>
    </w:p>
    <w:p w14:paraId="7984906C" w14:textId="06D07921" w:rsidR="00A07A94" w:rsidRPr="000C3891" w:rsidRDefault="00A07A94" w:rsidP="001213E5">
      <w:pPr>
        <w:widowControl w:val="0"/>
        <w:spacing w:before="240"/>
        <w:ind w:firstLine="709"/>
        <w:jc w:val="both"/>
        <w:rPr>
          <w:rFonts w:ascii="Times New Roman" w:hAnsi="Times New Roman" w:cs="Times New Roman"/>
        </w:rPr>
      </w:pPr>
      <w:r w:rsidRPr="000C3891">
        <w:rPr>
          <w:rFonts w:ascii="Times New Roman" w:hAnsi="Times New Roman" w:cs="Times New Roman"/>
        </w:rPr>
        <w:t xml:space="preserve">Simón Moreno, H. (2020). Las cooperativas de viviendas en régimen de cesión de </w:t>
      </w:r>
      <w:r w:rsidRPr="000C3891">
        <w:rPr>
          <w:rFonts w:ascii="Times New Roman" w:hAnsi="Times New Roman" w:cs="Times New Roman"/>
        </w:rPr>
        <w:lastRenderedPageBreak/>
        <w:t xml:space="preserve">uso: ¿una alternativa real a la vivienda en propiedad y en alquiler en España? </w:t>
      </w:r>
      <w:r w:rsidRPr="000C3891">
        <w:rPr>
          <w:rFonts w:ascii="Times New Roman" w:hAnsi="Times New Roman" w:cs="Times New Roman"/>
          <w:i/>
          <w:iCs/>
        </w:rPr>
        <w:t>REVESCO: revista de estudios cooperativos</w:t>
      </w:r>
      <w:r w:rsidRPr="000C3891">
        <w:rPr>
          <w:rFonts w:ascii="Times New Roman" w:hAnsi="Times New Roman" w:cs="Times New Roman"/>
        </w:rPr>
        <w:t xml:space="preserve">, </w:t>
      </w:r>
      <w:r w:rsidRPr="000C3891">
        <w:rPr>
          <w:rFonts w:ascii="Times New Roman" w:hAnsi="Times New Roman" w:cs="Times New Roman"/>
          <w:i/>
          <w:iCs/>
        </w:rPr>
        <w:t>134</w:t>
      </w:r>
      <w:r w:rsidR="00A176F8" w:rsidRPr="000C3891">
        <w:rPr>
          <w:rFonts w:ascii="Times New Roman" w:hAnsi="Times New Roman" w:cs="Times New Roman"/>
        </w:rPr>
        <w:t xml:space="preserve">, 1-17. </w:t>
      </w:r>
      <w:hyperlink r:id="rId28" w:history="1">
        <w:r w:rsidR="00A176F8" w:rsidRPr="000C3891">
          <w:rPr>
            <w:rStyle w:val="Hipervnculo"/>
            <w:rFonts w:ascii="Times New Roman" w:hAnsi="Times New Roman" w:cs="Times New Roman"/>
          </w:rPr>
          <w:t>https://doi.org/10.5209/reve.69165</w:t>
        </w:r>
      </w:hyperlink>
      <w:r w:rsidR="00A176F8" w:rsidRPr="000C3891">
        <w:rPr>
          <w:rFonts w:ascii="Times New Roman" w:hAnsi="Times New Roman" w:cs="Times New Roman"/>
        </w:rPr>
        <w:t>.</w:t>
      </w:r>
    </w:p>
    <w:p w14:paraId="7E39BE55" w14:textId="54E4C32B"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Soler Tarradellas, </w:t>
      </w:r>
      <w:proofErr w:type="spellStart"/>
      <w:r w:rsidRPr="000C3891">
        <w:rPr>
          <w:rFonts w:ascii="Times New Roman" w:hAnsi="Times New Roman" w:cs="Times New Roman"/>
        </w:rPr>
        <w:t>Mª</w:t>
      </w:r>
      <w:proofErr w:type="spellEnd"/>
      <w:r w:rsidRPr="000C3891">
        <w:rPr>
          <w:rFonts w:ascii="Times New Roman" w:hAnsi="Times New Roman" w:cs="Times New Roman"/>
        </w:rPr>
        <w:t xml:space="preserve"> J. (2017). X. Análisis económico sobre la accesibilidad a la vivienda: el esfuerzo familiar en las tenencias intermedias, en Nasarre Aznar, S. (Dir.), </w:t>
      </w:r>
      <w:r w:rsidRPr="000C3891">
        <w:rPr>
          <w:rFonts w:ascii="Times New Roman" w:hAnsi="Times New Roman" w:cs="Times New Roman"/>
          <w:i/>
          <w:iCs/>
        </w:rPr>
        <w:t>La propiedad compartida y la propiedad temporal (Ley 19/2015).</w:t>
      </w:r>
      <w:r w:rsidRPr="000C3891">
        <w:rPr>
          <w:rFonts w:ascii="Times New Roman" w:hAnsi="Times New Roman" w:cs="Times New Roman"/>
        </w:rPr>
        <w:t xml:space="preserve"> </w:t>
      </w:r>
      <w:r w:rsidRPr="000C3891">
        <w:rPr>
          <w:rFonts w:ascii="Times New Roman" w:hAnsi="Times New Roman" w:cs="Times New Roman"/>
          <w:i/>
          <w:iCs/>
        </w:rPr>
        <w:t>Aspectos legales y económicos</w:t>
      </w:r>
      <w:r w:rsidR="00F626BE" w:rsidRPr="000C3891">
        <w:rPr>
          <w:rFonts w:ascii="Times New Roman" w:hAnsi="Times New Roman" w:cs="Times New Roman"/>
          <w:i/>
          <w:iCs/>
        </w:rPr>
        <w:t xml:space="preserve"> </w:t>
      </w:r>
      <w:r w:rsidR="00F97873" w:rsidRPr="000C3891">
        <w:rPr>
          <w:rFonts w:ascii="Times New Roman" w:hAnsi="Times New Roman" w:cs="Times New Roman"/>
        </w:rPr>
        <w:t>(pp. 580-610)</w:t>
      </w:r>
      <w:r w:rsidRPr="000C3891">
        <w:rPr>
          <w:rFonts w:ascii="Times New Roman" w:hAnsi="Times New Roman" w:cs="Times New Roman"/>
        </w:rPr>
        <w:t>. Tirant lo Blanch.</w:t>
      </w:r>
    </w:p>
    <w:p w14:paraId="2324F048" w14:textId="6C9BAB29" w:rsidR="00113926" w:rsidRPr="000C3891" w:rsidRDefault="00113926" w:rsidP="001213E5">
      <w:pPr>
        <w:widowControl w:val="0"/>
        <w:spacing w:before="240"/>
        <w:ind w:firstLine="709"/>
        <w:jc w:val="both"/>
        <w:rPr>
          <w:rFonts w:ascii="Times New Roman" w:hAnsi="Times New Roman" w:cs="Times New Roman"/>
        </w:rPr>
      </w:pPr>
      <w:r w:rsidRPr="000C3891">
        <w:rPr>
          <w:rFonts w:ascii="Times New Roman" w:hAnsi="Times New Roman" w:cs="Times New Roman"/>
        </w:rPr>
        <w:t>Torres, R. (2023). El acceso de los jóvenes a la vivienda</w:t>
      </w:r>
      <w:r w:rsidR="00632C0D" w:rsidRPr="000C3891">
        <w:rPr>
          <w:rFonts w:ascii="Times New Roman" w:hAnsi="Times New Roman" w:cs="Times New Roman"/>
        </w:rPr>
        <w:t>.</w:t>
      </w:r>
      <w:r w:rsidRPr="000C3891">
        <w:rPr>
          <w:rFonts w:ascii="Times New Roman" w:hAnsi="Times New Roman" w:cs="Times New Roman"/>
        </w:rPr>
        <w:t xml:space="preserve"> </w:t>
      </w:r>
      <w:r w:rsidRPr="000C3891">
        <w:rPr>
          <w:rFonts w:ascii="Times New Roman" w:hAnsi="Times New Roman" w:cs="Times New Roman"/>
          <w:i/>
          <w:iCs/>
        </w:rPr>
        <w:t>Cuadernos de Información Económica</w:t>
      </w:r>
      <w:r w:rsidRPr="000C3891">
        <w:rPr>
          <w:rFonts w:ascii="Times New Roman" w:hAnsi="Times New Roman" w:cs="Times New Roman"/>
        </w:rPr>
        <w:t>,</w:t>
      </w:r>
      <w:r w:rsidR="00632C0D" w:rsidRPr="000C3891">
        <w:rPr>
          <w:rFonts w:ascii="Times New Roman" w:hAnsi="Times New Roman" w:cs="Times New Roman"/>
        </w:rPr>
        <w:t xml:space="preserve"> (</w:t>
      </w:r>
      <w:r w:rsidRPr="000C3891">
        <w:rPr>
          <w:rFonts w:ascii="Times New Roman" w:hAnsi="Times New Roman" w:cs="Times New Roman"/>
        </w:rPr>
        <w:t>296</w:t>
      </w:r>
      <w:r w:rsidR="00632C0D" w:rsidRPr="000C3891">
        <w:rPr>
          <w:rFonts w:ascii="Times New Roman" w:hAnsi="Times New Roman" w:cs="Times New Roman"/>
        </w:rPr>
        <w:t>)</w:t>
      </w:r>
      <w:r w:rsidR="00AB2023" w:rsidRPr="000C3891">
        <w:rPr>
          <w:rFonts w:ascii="Times New Roman" w:hAnsi="Times New Roman" w:cs="Times New Roman"/>
        </w:rPr>
        <w:t>.</w:t>
      </w:r>
      <w:r w:rsidR="00632C0D" w:rsidRPr="000C3891">
        <w:rPr>
          <w:rFonts w:ascii="Times New Roman" w:hAnsi="Times New Roman" w:cs="Times New Roman"/>
        </w:rPr>
        <w:t xml:space="preserve"> </w:t>
      </w:r>
      <w:hyperlink r:id="rId29" w:history="1">
        <w:r w:rsidR="00632C0D" w:rsidRPr="000C3891">
          <w:rPr>
            <w:rStyle w:val="Hipervnculo"/>
            <w:rFonts w:ascii="Times New Roman" w:hAnsi="Times New Roman" w:cs="Times New Roman"/>
          </w:rPr>
          <w:t>https://www.funcas.es/wp-content/uploads/2023/09/CIE-296_Torres.pdf</w:t>
        </w:r>
      </w:hyperlink>
      <w:r w:rsidR="00632C0D" w:rsidRPr="000C3891">
        <w:rPr>
          <w:rFonts w:ascii="Times New Roman" w:hAnsi="Times New Roman" w:cs="Times New Roman"/>
        </w:rPr>
        <w:t xml:space="preserve">. </w:t>
      </w:r>
    </w:p>
    <w:p w14:paraId="46473507" w14:textId="3B589CA1" w:rsidR="00A07A94" w:rsidRPr="000C3891" w:rsidRDefault="00A07A94" w:rsidP="001213E5">
      <w:pPr>
        <w:widowControl w:val="0"/>
        <w:spacing w:before="240"/>
        <w:ind w:firstLine="709"/>
        <w:jc w:val="both"/>
        <w:rPr>
          <w:rFonts w:ascii="Times New Roman" w:hAnsi="Times New Roman" w:cs="Times New Roman"/>
        </w:rPr>
      </w:pPr>
      <w:r w:rsidRPr="000C3891">
        <w:rPr>
          <w:rFonts w:ascii="Times New Roman" w:hAnsi="Times New Roman" w:cs="Times New Roman"/>
        </w:rPr>
        <w:t xml:space="preserve">Trilla, C. (2023). </w:t>
      </w:r>
      <w:r w:rsidRPr="000C3891">
        <w:rPr>
          <w:rFonts w:ascii="Times New Roman" w:hAnsi="Times New Roman" w:cs="Times New Roman"/>
          <w:i/>
          <w:iCs/>
        </w:rPr>
        <w:t xml:space="preserve">La política </w:t>
      </w:r>
      <w:proofErr w:type="spellStart"/>
      <w:r w:rsidRPr="000C3891">
        <w:rPr>
          <w:rFonts w:ascii="Times New Roman" w:hAnsi="Times New Roman" w:cs="Times New Roman"/>
          <w:i/>
          <w:iCs/>
        </w:rPr>
        <w:t>d’habitatge</w:t>
      </w:r>
      <w:proofErr w:type="spellEnd"/>
      <w:r w:rsidRPr="000C3891">
        <w:rPr>
          <w:rFonts w:ascii="Times New Roman" w:hAnsi="Times New Roman" w:cs="Times New Roman"/>
          <w:i/>
          <w:iCs/>
        </w:rPr>
        <w:t xml:space="preserve"> </w:t>
      </w:r>
      <w:proofErr w:type="spellStart"/>
      <w:r w:rsidRPr="000C3891">
        <w:rPr>
          <w:rFonts w:ascii="Times New Roman" w:hAnsi="Times New Roman" w:cs="Times New Roman"/>
          <w:i/>
          <w:iCs/>
        </w:rPr>
        <w:t>com</w:t>
      </w:r>
      <w:proofErr w:type="spellEnd"/>
      <w:r w:rsidRPr="000C3891">
        <w:rPr>
          <w:rFonts w:ascii="Times New Roman" w:hAnsi="Times New Roman" w:cs="Times New Roman"/>
          <w:i/>
          <w:iCs/>
        </w:rPr>
        <w:t xml:space="preserve"> a pilar </w:t>
      </w:r>
      <w:proofErr w:type="spellStart"/>
      <w:r w:rsidRPr="000C3891">
        <w:rPr>
          <w:rFonts w:ascii="Times New Roman" w:hAnsi="Times New Roman" w:cs="Times New Roman"/>
          <w:i/>
          <w:iCs/>
        </w:rPr>
        <w:t>fonamental</w:t>
      </w:r>
      <w:proofErr w:type="spellEnd"/>
      <w:r w:rsidRPr="000C3891">
        <w:rPr>
          <w:rFonts w:ascii="Times New Roman" w:hAnsi="Times New Roman" w:cs="Times New Roman"/>
          <w:i/>
          <w:iCs/>
        </w:rPr>
        <w:t xml:space="preserve"> de </w:t>
      </w:r>
      <w:proofErr w:type="spellStart"/>
      <w:r w:rsidRPr="000C3891">
        <w:rPr>
          <w:rFonts w:ascii="Times New Roman" w:hAnsi="Times New Roman" w:cs="Times New Roman"/>
          <w:i/>
          <w:iCs/>
        </w:rPr>
        <w:t>l’Estat</w:t>
      </w:r>
      <w:proofErr w:type="spellEnd"/>
      <w:r w:rsidRPr="000C3891">
        <w:rPr>
          <w:rFonts w:ascii="Times New Roman" w:hAnsi="Times New Roman" w:cs="Times New Roman"/>
          <w:i/>
          <w:iCs/>
        </w:rPr>
        <w:t xml:space="preserve"> del </w:t>
      </w:r>
      <w:proofErr w:type="spellStart"/>
      <w:r w:rsidRPr="000C3891">
        <w:rPr>
          <w:rFonts w:ascii="Times New Roman" w:hAnsi="Times New Roman" w:cs="Times New Roman"/>
          <w:i/>
          <w:iCs/>
        </w:rPr>
        <w:t>benestar</w:t>
      </w:r>
      <w:proofErr w:type="spellEnd"/>
      <w:r w:rsidRPr="000C3891">
        <w:rPr>
          <w:rFonts w:ascii="Times New Roman" w:hAnsi="Times New Roman" w:cs="Times New Roman"/>
        </w:rPr>
        <w:t xml:space="preserve">, Jornada CUIMPB: Demanda i </w:t>
      </w:r>
      <w:proofErr w:type="spellStart"/>
      <w:r w:rsidRPr="000C3891">
        <w:rPr>
          <w:rFonts w:ascii="Times New Roman" w:hAnsi="Times New Roman" w:cs="Times New Roman"/>
        </w:rPr>
        <w:t>necessitats</w:t>
      </w:r>
      <w:proofErr w:type="spellEnd"/>
      <w:r w:rsidRPr="000C3891">
        <w:rPr>
          <w:rFonts w:ascii="Times New Roman" w:hAnsi="Times New Roman" w:cs="Times New Roman"/>
        </w:rPr>
        <w:t xml:space="preserve"> </w:t>
      </w:r>
      <w:proofErr w:type="spellStart"/>
      <w:r w:rsidRPr="000C3891">
        <w:rPr>
          <w:rFonts w:ascii="Times New Roman" w:hAnsi="Times New Roman" w:cs="Times New Roman"/>
        </w:rPr>
        <w:t>residencials</w:t>
      </w:r>
      <w:proofErr w:type="spellEnd"/>
      <w:r w:rsidRPr="000C3891">
        <w:rPr>
          <w:rFonts w:ascii="Times New Roman" w:hAnsi="Times New Roman" w:cs="Times New Roman"/>
        </w:rPr>
        <w:t xml:space="preserve">, </w:t>
      </w:r>
      <w:proofErr w:type="spellStart"/>
      <w:r w:rsidRPr="000C3891">
        <w:rPr>
          <w:rFonts w:ascii="Times New Roman" w:hAnsi="Times New Roman" w:cs="Times New Roman"/>
        </w:rPr>
        <w:t>Observatori</w:t>
      </w:r>
      <w:proofErr w:type="spellEnd"/>
      <w:r w:rsidRPr="000C3891">
        <w:rPr>
          <w:rFonts w:ascii="Times New Roman" w:hAnsi="Times New Roman" w:cs="Times New Roman"/>
        </w:rPr>
        <w:t xml:space="preserve"> </w:t>
      </w:r>
      <w:proofErr w:type="spellStart"/>
      <w:r w:rsidRPr="000C3891">
        <w:rPr>
          <w:rFonts w:ascii="Times New Roman" w:hAnsi="Times New Roman" w:cs="Times New Roman"/>
        </w:rPr>
        <w:t>Metropolità</w:t>
      </w:r>
      <w:proofErr w:type="spellEnd"/>
      <w:r w:rsidRPr="000C3891">
        <w:rPr>
          <w:rFonts w:ascii="Times New Roman" w:hAnsi="Times New Roman" w:cs="Times New Roman"/>
        </w:rPr>
        <w:t xml:space="preserve"> de </w:t>
      </w:r>
      <w:proofErr w:type="spellStart"/>
      <w:r w:rsidRPr="000C3891">
        <w:rPr>
          <w:rFonts w:ascii="Times New Roman" w:hAnsi="Times New Roman" w:cs="Times New Roman"/>
        </w:rPr>
        <w:t>l’Habitatge</w:t>
      </w:r>
      <w:proofErr w:type="spellEnd"/>
      <w:r w:rsidR="00C13951" w:rsidRPr="000C3891">
        <w:rPr>
          <w:rFonts w:ascii="Times New Roman" w:hAnsi="Times New Roman" w:cs="Times New Roman"/>
        </w:rPr>
        <w:t>.</w:t>
      </w:r>
      <w:r w:rsidR="00AB2023" w:rsidRPr="000C3891">
        <w:rPr>
          <w:rFonts w:ascii="Times New Roman" w:hAnsi="Times New Roman" w:cs="Times New Roman"/>
        </w:rPr>
        <w:t xml:space="preserve"> </w:t>
      </w:r>
      <w:hyperlink r:id="rId30" w:history="1">
        <w:r w:rsidRPr="000C3891">
          <w:rPr>
            <w:rStyle w:val="Hipervnculo"/>
            <w:rFonts w:ascii="Times New Roman" w:hAnsi="Times New Roman" w:cs="Times New Roman"/>
          </w:rPr>
          <w:t>https://www.ohb.cat/wp-content/uploads/2024/03/Presentacio-Carme-Trilla.pdf</w:t>
        </w:r>
      </w:hyperlink>
      <w:r w:rsidRPr="000C3891">
        <w:rPr>
          <w:rFonts w:ascii="Times New Roman" w:hAnsi="Times New Roman" w:cs="Times New Roman"/>
        </w:rPr>
        <w:t>.</w:t>
      </w:r>
    </w:p>
    <w:sectPr w:rsidR="00A07A94" w:rsidRPr="000C3891" w:rsidSect="00404F84">
      <w:footerReference w:type="even" r:id="rId31"/>
      <w:footerReference w:type="default" r:id="rId32"/>
      <w:pgSz w:w="11900" w:h="16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C388" w14:textId="77777777" w:rsidR="003874F8" w:rsidRDefault="003874F8" w:rsidP="00F461EE">
      <w:r>
        <w:separator/>
      </w:r>
    </w:p>
  </w:endnote>
  <w:endnote w:type="continuationSeparator" w:id="0">
    <w:p w14:paraId="3C25E547" w14:textId="77777777" w:rsidR="003874F8" w:rsidRDefault="003874F8" w:rsidP="00F461EE">
      <w:r>
        <w:continuationSeparator/>
      </w:r>
    </w:p>
  </w:endnote>
  <w:endnote w:type="continuationNotice" w:id="1">
    <w:p w14:paraId="7C35E3BB" w14:textId="77777777" w:rsidR="003874F8" w:rsidRDefault="00387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47553229"/>
      <w:docPartObj>
        <w:docPartGallery w:val="Page Numbers (Bottom of Page)"/>
        <w:docPartUnique/>
      </w:docPartObj>
    </w:sdtPr>
    <w:sdtContent>
      <w:p w14:paraId="7EE5E1E0" w14:textId="1EF760E1" w:rsidR="003D42B4" w:rsidRDefault="003D42B4" w:rsidP="009D7BC5">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9578DC1" w14:textId="77777777" w:rsidR="003D42B4" w:rsidRDefault="003D42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655E" w14:textId="77777777" w:rsidR="00404F84" w:rsidRDefault="00404F84" w:rsidP="00404F84">
    <w:pPr>
      <w:pStyle w:val="Piedepgina"/>
    </w:pPr>
    <w:bookmarkStart w:id="0" w:name="_Hlk197280688"/>
    <w:r>
      <w:t xml:space="preserve">                  </w:t>
    </w:r>
    <w:r w:rsidRPr="00E4304D">
      <w:rPr>
        <w:noProof/>
        <w:lang w:eastAsia="es-MX"/>
      </w:rPr>
      <w:drawing>
        <wp:inline distT="0" distB="0" distL="0" distR="0" wp14:anchorId="0805BB11" wp14:editId="5EE62E93">
          <wp:extent cx="1600200" cy="419100"/>
          <wp:effectExtent l="0" t="0" r="0" b="0"/>
          <wp:docPr id="3" name="Imagen 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4</w:t>
    </w:r>
    <w:r w:rsidRPr="0099355E">
      <w:rPr>
        <w:rFonts w:cstheme="minorHAnsi"/>
        <w:b/>
        <w:bCs/>
      </w:rPr>
      <w:t>, Núm. 2</w:t>
    </w:r>
    <w:r>
      <w:rPr>
        <w:rFonts w:cstheme="minorHAnsi"/>
        <w:b/>
        <w:bCs/>
      </w:rPr>
      <w:t xml:space="preserve">7    </w:t>
    </w:r>
    <w:proofErr w:type="gramStart"/>
    <w:r>
      <w:rPr>
        <w:rFonts w:cstheme="minorHAnsi"/>
        <w:b/>
        <w:bCs/>
      </w:rPr>
      <w:t>Enero</w:t>
    </w:r>
    <w:proofErr w:type="gramEnd"/>
    <w:r>
      <w:rPr>
        <w:rFonts w:cstheme="minorHAnsi"/>
        <w:b/>
        <w:bCs/>
      </w:rPr>
      <w:t xml:space="preserve"> - </w:t>
    </w:r>
    <w:proofErr w:type="gramStart"/>
    <w:r>
      <w:rPr>
        <w:rFonts w:cstheme="minorHAnsi"/>
        <w:b/>
        <w:bCs/>
      </w:rPr>
      <w:t>Junio</w:t>
    </w:r>
    <w:proofErr w:type="gramEnd"/>
    <w:r>
      <w:rPr>
        <w:rFonts w:cstheme="minorHAnsi"/>
        <w:b/>
        <w:bCs/>
      </w:rPr>
      <w:t xml:space="preserve"> 2025</w:t>
    </w:r>
  </w:p>
  <w:bookmarkEnd w:id="0"/>
  <w:p w14:paraId="61BE8D4D" w14:textId="77777777" w:rsidR="00404F84" w:rsidRDefault="00404F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A456" w14:textId="77777777" w:rsidR="003874F8" w:rsidRDefault="003874F8" w:rsidP="00F461EE">
      <w:r>
        <w:separator/>
      </w:r>
    </w:p>
  </w:footnote>
  <w:footnote w:type="continuationSeparator" w:id="0">
    <w:p w14:paraId="393202D3" w14:textId="77777777" w:rsidR="003874F8" w:rsidRDefault="003874F8" w:rsidP="00F461EE">
      <w:r>
        <w:continuationSeparator/>
      </w:r>
    </w:p>
  </w:footnote>
  <w:footnote w:type="continuationNotice" w:id="1">
    <w:p w14:paraId="62094928" w14:textId="77777777" w:rsidR="003874F8" w:rsidRDefault="003874F8"/>
  </w:footnote>
  <w:footnote w:id="2">
    <w:p w14:paraId="080EE76A" w14:textId="60605AC0" w:rsidR="00925302" w:rsidRPr="005A5238" w:rsidRDefault="00925302" w:rsidP="00414A69">
      <w:pPr>
        <w:pStyle w:val="Textonotapie"/>
        <w:jc w:val="both"/>
        <w:rPr>
          <w:sz w:val="20"/>
          <w:szCs w:val="20"/>
        </w:rPr>
      </w:pPr>
      <w:r w:rsidRPr="005A5238">
        <w:rPr>
          <w:rStyle w:val="Refdenotaalpie"/>
          <w:sz w:val="20"/>
          <w:szCs w:val="20"/>
        </w:rPr>
        <w:footnoteRef/>
      </w:r>
      <w:r w:rsidRPr="005A5238">
        <w:rPr>
          <w:sz w:val="20"/>
          <w:szCs w:val="20"/>
        </w:rPr>
        <w:t xml:space="preserve"> La competencia en vivienda ha sido asumida por las Comunidades Autónomas en base al </w:t>
      </w:r>
      <w:r w:rsidR="0098008E" w:rsidRPr="005A5238">
        <w:rPr>
          <w:sz w:val="20"/>
          <w:szCs w:val="20"/>
        </w:rPr>
        <w:t>art.</w:t>
      </w:r>
      <w:r w:rsidRPr="005A5238">
        <w:rPr>
          <w:sz w:val="20"/>
          <w:szCs w:val="20"/>
        </w:rPr>
        <w:t xml:space="preserve"> 14</w:t>
      </w:r>
      <w:r w:rsidR="0098008E" w:rsidRPr="005A5238">
        <w:rPr>
          <w:sz w:val="20"/>
          <w:szCs w:val="20"/>
        </w:rPr>
        <w:t>8.1.3 CE.</w:t>
      </w:r>
    </w:p>
  </w:footnote>
  <w:footnote w:id="3">
    <w:p w14:paraId="4C1AB04A" w14:textId="285537DF" w:rsidR="006B3E4E" w:rsidRPr="005A5238" w:rsidRDefault="006B3E4E" w:rsidP="00414A69">
      <w:pPr>
        <w:pStyle w:val="Textonotapie"/>
        <w:jc w:val="both"/>
        <w:rPr>
          <w:sz w:val="20"/>
          <w:szCs w:val="20"/>
        </w:rPr>
      </w:pPr>
      <w:r w:rsidRPr="005A5238">
        <w:rPr>
          <w:rStyle w:val="Refdenotaalpie"/>
          <w:sz w:val="20"/>
          <w:szCs w:val="20"/>
        </w:rPr>
        <w:footnoteRef/>
      </w:r>
      <w:r w:rsidRPr="005A5238">
        <w:rPr>
          <w:sz w:val="20"/>
          <w:szCs w:val="20"/>
        </w:rPr>
        <w:t xml:space="preserve"> Sentencia del Tribunal Constitucional español (STC) 79/2024, de 21 de mayo (Boletín Oficial del Estado -BOE. núm. 152, 24.6.2024).</w:t>
      </w:r>
    </w:p>
  </w:footnote>
  <w:footnote w:id="4">
    <w:p w14:paraId="7D6DB8EB" w14:textId="6D1DDE5E" w:rsidR="00C31C4C" w:rsidRPr="005A5238" w:rsidRDefault="00C31C4C"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C4625" w:rsidRPr="005A5238">
        <w:rPr>
          <w:sz w:val="20"/>
          <w:szCs w:val="20"/>
        </w:rPr>
        <w:t>Como se apunta en el informe</w:t>
      </w:r>
      <w:r w:rsidR="00487418" w:rsidRPr="005A5238">
        <w:rPr>
          <w:sz w:val="20"/>
          <w:szCs w:val="20"/>
        </w:rPr>
        <w:t xml:space="preserve"> “España 2050”,</w:t>
      </w:r>
      <w:r w:rsidRPr="005A5238">
        <w:rPr>
          <w:sz w:val="20"/>
          <w:szCs w:val="20"/>
        </w:rPr>
        <w:t xml:space="preserve"> 262.</w:t>
      </w:r>
      <w:r w:rsidR="00487418" w:rsidRPr="005A5238">
        <w:rPr>
          <w:sz w:val="20"/>
          <w:szCs w:val="20"/>
        </w:rPr>
        <w:t xml:space="preserve"> Disponible </w:t>
      </w:r>
      <w:r w:rsidR="006C4625" w:rsidRPr="005A5238">
        <w:rPr>
          <w:sz w:val="20"/>
          <w:szCs w:val="20"/>
        </w:rPr>
        <w:t>en</w:t>
      </w:r>
      <w:r w:rsidR="00487418" w:rsidRPr="005A5238">
        <w:rPr>
          <w:sz w:val="20"/>
          <w:szCs w:val="20"/>
        </w:rPr>
        <w:t xml:space="preserve">: </w:t>
      </w:r>
      <w:hyperlink r:id="rId1" w:history="1">
        <w:r w:rsidR="00487418" w:rsidRPr="005A5238">
          <w:rPr>
            <w:rStyle w:val="Hipervnculo"/>
            <w:sz w:val="20"/>
            <w:szCs w:val="20"/>
          </w:rPr>
          <w:t>https://futuros.gob.es/nuestro-trabajo/espana-2050</w:t>
        </w:r>
      </w:hyperlink>
      <w:r w:rsidR="00487418" w:rsidRPr="005A5238">
        <w:rPr>
          <w:sz w:val="20"/>
          <w:szCs w:val="20"/>
        </w:rPr>
        <w:t xml:space="preserve"> (</w:t>
      </w:r>
      <w:r w:rsidR="006C4625" w:rsidRPr="005A5238">
        <w:rPr>
          <w:sz w:val="20"/>
          <w:szCs w:val="20"/>
        </w:rPr>
        <w:t>consultado</w:t>
      </w:r>
      <w:r w:rsidR="00487418" w:rsidRPr="005A5238">
        <w:rPr>
          <w:sz w:val="20"/>
          <w:szCs w:val="20"/>
        </w:rPr>
        <w:t xml:space="preserve"> </w:t>
      </w:r>
      <w:r w:rsidR="006C4625" w:rsidRPr="005A5238">
        <w:rPr>
          <w:sz w:val="20"/>
          <w:szCs w:val="20"/>
        </w:rPr>
        <w:t>10</w:t>
      </w:r>
      <w:r w:rsidR="00487418" w:rsidRPr="005A5238">
        <w:rPr>
          <w:sz w:val="20"/>
          <w:szCs w:val="20"/>
        </w:rPr>
        <w:t>-1-202</w:t>
      </w:r>
      <w:r w:rsidR="006C4625" w:rsidRPr="005A5238">
        <w:rPr>
          <w:sz w:val="20"/>
          <w:szCs w:val="20"/>
        </w:rPr>
        <w:t>5</w:t>
      </w:r>
      <w:r w:rsidR="00487418" w:rsidRPr="005A5238">
        <w:rPr>
          <w:sz w:val="20"/>
          <w:szCs w:val="20"/>
        </w:rPr>
        <w:t>).</w:t>
      </w:r>
    </w:p>
  </w:footnote>
  <w:footnote w:id="5">
    <w:p w14:paraId="5FCA64B8" w14:textId="5F47B728" w:rsidR="00B454AF" w:rsidRPr="005A5238" w:rsidRDefault="00B454AF" w:rsidP="00414A69">
      <w:pPr>
        <w:pStyle w:val="Textonotapie"/>
        <w:jc w:val="both"/>
        <w:rPr>
          <w:sz w:val="20"/>
          <w:szCs w:val="20"/>
        </w:rPr>
      </w:pPr>
      <w:r w:rsidRPr="005A5238">
        <w:rPr>
          <w:rStyle w:val="Refdenotaalpie"/>
          <w:rFonts w:eastAsiaTheme="majorEastAsia"/>
          <w:sz w:val="20"/>
          <w:szCs w:val="20"/>
        </w:rPr>
        <w:footnoteRef/>
      </w:r>
      <w:r w:rsidRPr="005A5238">
        <w:rPr>
          <w:sz w:val="20"/>
          <w:szCs w:val="20"/>
        </w:rPr>
        <w:t xml:space="preserve"> </w:t>
      </w:r>
      <w:r w:rsidR="006C4625" w:rsidRPr="005A5238">
        <w:rPr>
          <w:sz w:val="20"/>
          <w:szCs w:val="20"/>
        </w:rPr>
        <w:t xml:space="preserve">El proceso de urbanización se ha producido principalmente en las ciudades medias, especialmente en el boom inmobiliario (1998-2008). Así pues, las zonas urbanas de </w:t>
      </w:r>
      <w:r w:rsidR="006B3E4E" w:rsidRPr="005A5238">
        <w:rPr>
          <w:sz w:val="20"/>
          <w:szCs w:val="20"/>
        </w:rPr>
        <w:t>estas</w:t>
      </w:r>
      <w:r w:rsidR="006C4625" w:rsidRPr="005A5238">
        <w:rPr>
          <w:sz w:val="20"/>
          <w:szCs w:val="20"/>
        </w:rPr>
        <w:t xml:space="preserve"> ciudades han pasado de ser el paradigma de la ciudad compacta a </w:t>
      </w:r>
      <w:r w:rsidR="006B3E4E" w:rsidRPr="005A5238">
        <w:rPr>
          <w:sz w:val="20"/>
          <w:szCs w:val="20"/>
        </w:rPr>
        <w:t xml:space="preserve">convertirse en </w:t>
      </w:r>
      <w:r w:rsidR="006C4625" w:rsidRPr="005A5238">
        <w:rPr>
          <w:sz w:val="20"/>
          <w:szCs w:val="20"/>
        </w:rPr>
        <w:t xml:space="preserve">una ciudad grande y más dispersa, con una menor densidad de ocupación del suelo, una mayor fragmentación espacial y una mayor complejidad, ver las conclusiones de </w:t>
      </w:r>
      <w:r w:rsidR="002232C2" w:rsidRPr="005A5238">
        <w:rPr>
          <w:sz w:val="20"/>
          <w:szCs w:val="20"/>
        </w:rPr>
        <w:t xml:space="preserve">Olazabal </w:t>
      </w:r>
      <w:r w:rsidR="006C4625" w:rsidRPr="005A5238">
        <w:rPr>
          <w:sz w:val="20"/>
          <w:szCs w:val="20"/>
        </w:rPr>
        <w:t>y</w:t>
      </w:r>
      <w:r w:rsidRPr="005A5238">
        <w:rPr>
          <w:sz w:val="20"/>
          <w:szCs w:val="20"/>
        </w:rPr>
        <w:t xml:space="preserve"> </w:t>
      </w:r>
      <w:r w:rsidR="002232C2" w:rsidRPr="005A5238">
        <w:rPr>
          <w:sz w:val="20"/>
          <w:szCs w:val="20"/>
        </w:rPr>
        <w:t>Bellet</w:t>
      </w:r>
      <w:r w:rsidRPr="005A5238">
        <w:rPr>
          <w:sz w:val="20"/>
          <w:szCs w:val="20"/>
        </w:rPr>
        <w:t>,</w:t>
      </w:r>
      <w:r w:rsidR="00B027B7" w:rsidRPr="005A5238">
        <w:rPr>
          <w:sz w:val="20"/>
          <w:szCs w:val="20"/>
        </w:rPr>
        <w:t xml:space="preserve"> 2017, </w:t>
      </w:r>
      <w:r w:rsidRPr="005A5238">
        <w:rPr>
          <w:sz w:val="20"/>
          <w:szCs w:val="20"/>
        </w:rPr>
        <w:t>168-169).</w:t>
      </w:r>
    </w:p>
  </w:footnote>
  <w:footnote w:id="6">
    <w:p w14:paraId="33AC40B2" w14:textId="5123ABB7" w:rsidR="00B43F00" w:rsidRPr="005A5238" w:rsidRDefault="00B43F00" w:rsidP="00CA797F">
      <w:pPr>
        <w:pStyle w:val="Textonotapie"/>
        <w:jc w:val="both"/>
        <w:rPr>
          <w:sz w:val="20"/>
          <w:szCs w:val="20"/>
        </w:rPr>
      </w:pPr>
      <w:r w:rsidRPr="005A5238">
        <w:rPr>
          <w:rStyle w:val="Refdenotaalpie"/>
          <w:sz w:val="20"/>
          <w:szCs w:val="20"/>
        </w:rPr>
        <w:footnoteRef/>
      </w:r>
      <w:r w:rsidRPr="005A5238">
        <w:rPr>
          <w:sz w:val="20"/>
          <w:szCs w:val="20"/>
        </w:rPr>
        <w:t xml:space="preserve"> </w:t>
      </w:r>
      <w:hyperlink r:id="rId2" w:history="1">
        <w:r w:rsidRPr="005A5238">
          <w:rPr>
            <w:rStyle w:val="Hipervnculo"/>
            <w:sz w:val="20"/>
            <w:szCs w:val="20"/>
          </w:rPr>
          <w:t>https://housing.urv.cat/es/dasiho/</w:t>
        </w:r>
      </w:hyperlink>
      <w:r w:rsidRPr="005A5238">
        <w:rPr>
          <w:sz w:val="20"/>
          <w:szCs w:val="20"/>
        </w:rPr>
        <w:t xml:space="preserve">. </w:t>
      </w:r>
    </w:p>
  </w:footnote>
  <w:footnote w:id="7">
    <w:p w14:paraId="218525B5" w14:textId="531A282D" w:rsidR="00F95A80" w:rsidRPr="005A5238" w:rsidRDefault="00F95A80" w:rsidP="00CA797F">
      <w:pPr>
        <w:pStyle w:val="Textonotapie"/>
        <w:jc w:val="both"/>
        <w:rPr>
          <w:sz w:val="20"/>
          <w:szCs w:val="20"/>
        </w:rPr>
      </w:pPr>
      <w:r w:rsidRPr="005A5238">
        <w:rPr>
          <w:rStyle w:val="Refdenotaalpie"/>
          <w:sz w:val="20"/>
          <w:szCs w:val="20"/>
        </w:rPr>
        <w:footnoteRef/>
      </w:r>
      <w:r w:rsidRPr="005A5238">
        <w:rPr>
          <w:sz w:val="20"/>
          <w:szCs w:val="20"/>
        </w:rPr>
        <w:t xml:space="preserve"> Como argumentan estos autores, “</w:t>
      </w:r>
      <w:r w:rsidR="00754DFC" w:rsidRPr="005A5238">
        <w:rPr>
          <w:sz w:val="20"/>
          <w:szCs w:val="20"/>
        </w:rPr>
        <w:t>la elaboración de algunas normas clave sobre vivienda no se han planteado (y, en su caso, descartado) alternativas legislativas a la adoptada y que, en la mayoría de los casos, no aportan datos sobre la necesidad de la medida”, p. 214.</w:t>
      </w:r>
    </w:p>
  </w:footnote>
  <w:footnote w:id="8">
    <w:p w14:paraId="5A45876D" w14:textId="73D25245" w:rsidR="0012265C" w:rsidRPr="005A5238" w:rsidRDefault="0012265C"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C4625" w:rsidRPr="005A5238">
        <w:rPr>
          <w:sz w:val="20"/>
          <w:szCs w:val="20"/>
        </w:rPr>
        <w:t xml:space="preserve">Ley 5/2019, de 15 de marzo, reguladora de los contratos de crédito inmobiliario (BOE núm. 65, 16.2.2019). Esta ley prevé que sólo se concederán préstamos hipotecarios sobre viviendas a las que es probable que les pueda devolver, lo que implica que muchas familias con contratos precarios o pocos ahorros para dar la entrada por la compra de la vivienda queden fuera del mercado hipotecario. Esto ya se consideraba como una posibilidad para el Banco de España </w:t>
      </w:r>
      <w:r w:rsidR="00FD1F3B" w:rsidRPr="005A5238">
        <w:rPr>
          <w:sz w:val="20"/>
          <w:szCs w:val="20"/>
        </w:rPr>
        <w:t>(</w:t>
      </w:r>
      <w:r w:rsidR="002232C2" w:rsidRPr="005A5238">
        <w:rPr>
          <w:sz w:val="20"/>
          <w:szCs w:val="20"/>
        </w:rPr>
        <w:t>Banco De España</w:t>
      </w:r>
      <w:r w:rsidR="00203BA7" w:rsidRPr="005A5238">
        <w:rPr>
          <w:sz w:val="20"/>
          <w:szCs w:val="20"/>
        </w:rPr>
        <w:t xml:space="preserve">, 2019, </w:t>
      </w:r>
      <w:r w:rsidR="005552BC" w:rsidRPr="005A5238">
        <w:rPr>
          <w:sz w:val="20"/>
          <w:szCs w:val="20"/>
        </w:rPr>
        <w:t>24</w:t>
      </w:r>
      <w:r w:rsidR="00A5028A" w:rsidRPr="005A5238">
        <w:rPr>
          <w:sz w:val="20"/>
          <w:szCs w:val="20"/>
        </w:rPr>
        <w:t>)</w:t>
      </w:r>
      <w:r w:rsidR="00E27819" w:rsidRPr="005A5238">
        <w:rPr>
          <w:sz w:val="20"/>
          <w:szCs w:val="20"/>
        </w:rPr>
        <w:t>.</w:t>
      </w:r>
      <w:r w:rsidR="00A20667" w:rsidRPr="005A5238">
        <w:rPr>
          <w:sz w:val="20"/>
          <w:szCs w:val="20"/>
        </w:rPr>
        <w:t xml:space="preserve"> </w:t>
      </w:r>
      <w:r w:rsidR="006C4625" w:rsidRPr="005A5238">
        <w:rPr>
          <w:sz w:val="20"/>
          <w:szCs w:val="20"/>
        </w:rPr>
        <w:t xml:space="preserve">De hecho, mientras que más de un 60% de las compras de vivienda en 2007 se financiaron con recurso al crédito, </w:t>
      </w:r>
      <w:r w:rsidR="006B3E4E" w:rsidRPr="005A5238">
        <w:rPr>
          <w:sz w:val="20"/>
          <w:szCs w:val="20"/>
        </w:rPr>
        <w:t>la ratio</w:t>
      </w:r>
      <w:r w:rsidR="006C4625" w:rsidRPr="005A5238">
        <w:rPr>
          <w:sz w:val="20"/>
          <w:szCs w:val="20"/>
        </w:rPr>
        <w:t xml:space="preserve"> se situó en 2023 por debajo del 45%</w:t>
      </w:r>
      <w:r w:rsidR="004835A8" w:rsidRPr="005A5238">
        <w:rPr>
          <w:sz w:val="20"/>
          <w:szCs w:val="20"/>
        </w:rPr>
        <w:t xml:space="preserve"> (</w:t>
      </w:r>
      <w:r w:rsidR="002232C2" w:rsidRPr="005A5238">
        <w:rPr>
          <w:sz w:val="20"/>
          <w:szCs w:val="20"/>
        </w:rPr>
        <w:t>Lajer Baron</w:t>
      </w:r>
      <w:r w:rsidR="00461951" w:rsidRPr="005A5238">
        <w:rPr>
          <w:sz w:val="20"/>
          <w:szCs w:val="20"/>
        </w:rPr>
        <w:t xml:space="preserve">, </w:t>
      </w:r>
      <w:r w:rsidR="002232C2" w:rsidRPr="005A5238">
        <w:rPr>
          <w:sz w:val="20"/>
          <w:szCs w:val="20"/>
        </w:rPr>
        <w:t xml:space="preserve">López Rodríguez </w:t>
      </w:r>
      <w:r w:rsidR="006B3E4E" w:rsidRPr="005A5238">
        <w:rPr>
          <w:sz w:val="20"/>
          <w:szCs w:val="20"/>
        </w:rPr>
        <w:t>y</w:t>
      </w:r>
      <w:r w:rsidR="00461951" w:rsidRPr="005A5238">
        <w:rPr>
          <w:sz w:val="20"/>
          <w:szCs w:val="20"/>
        </w:rPr>
        <w:t xml:space="preserve"> </w:t>
      </w:r>
      <w:r w:rsidR="002232C2" w:rsidRPr="005A5238">
        <w:rPr>
          <w:sz w:val="20"/>
          <w:szCs w:val="20"/>
        </w:rPr>
        <w:t>San Juan</w:t>
      </w:r>
      <w:r w:rsidR="00461951" w:rsidRPr="005A5238">
        <w:rPr>
          <w:sz w:val="20"/>
          <w:szCs w:val="20"/>
        </w:rPr>
        <w:t xml:space="preserve">, </w:t>
      </w:r>
      <w:r w:rsidR="00D669D4" w:rsidRPr="005A5238">
        <w:rPr>
          <w:sz w:val="20"/>
          <w:szCs w:val="20"/>
        </w:rPr>
        <w:t xml:space="preserve">2024, </w:t>
      </w:r>
      <w:r w:rsidR="00671AE7" w:rsidRPr="005A5238">
        <w:rPr>
          <w:sz w:val="20"/>
          <w:szCs w:val="20"/>
        </w:rPr>
        <w:t xml:space="preserve">22 </w:t>
      </w:r>
      <w:r w:rsidR="006C4625" w:rsidRPr="005A5238">
        <w:rPr>
          <w:sz w:val="20"/>
          <w:szCs w:val="20"/>
        </w:rPr>
        <w:t>y</w:t>
      </w:r>
      <w:r w:rsidR="00671AE7" w:rsidRPr="005A5238">
        <w:rPr>
          <w:sz w:val="20"/>
          <w:szCs w:val="20"/>
        </w:rPr>
        <w:t xml:space="preserve"> 23</w:t>
      </w:r>
      <w:r w:rsidR="004835A8" w:rsidRPr="005A5238">
        <w:rPr>
          <w:sz w:val="20"/>
          <w:szCs w:val="20"/>
        </w:rPr>
        <w:t>)</w:t>
      </w:r>
      <w:r w:rsidR="00D669D4" w:rsidRPr="005A5238">
        <w:rPr>
          <w:sz w:val="20"/>
          <w:szCs w:val="20"/>
        </w:rPr>
        <w:t>.</w:t>
      </w:r>
    </w:p>
  </w:footnote>
  <w:footnote w:id="9">
    <w:p w14:paraId="63D78F5F" w14:textId="4CF5025C" w:rsidR="004F793F" w:rsidRPr="005A5238" w:rsidRDefault="004F793F">
      <w:pPr>
        <w:pStyle w:val="Textonotapie"/>
        <w:rPr>
          <w:sz w:val="20"/>
          <w:szCs w:val="20"/>
        </w:rPr>
      </w:pPr>
      <w:r w:rsidRPr="005A5238">
        <w:rPr>
          <w:rStyle w:val="Refdenotaalpie"/>
          <w:sz w:val="20"/>
          <w:szCs w:val="20"/>
        </w:rPr>
        <w:footnoteRef/>
      </w:r>
      <w:r w:rsidRPr="005A5238">
        <w:rPr>
          <w:sz w:val="20"/>
          <w:szCs w:val="20"/>
        </w:rPr>
        <w:t xml:space="preserve"> INE, </w:t>
      </w:r>
      <w:r w:rsidR="0012584D" w:rsidRPr="005A5238">
        <w:rPr>
          <w:sz w:val="20"/>
          <w:szCs w:val="20"/>
        </w:rPr>
        <w:t>Encuesta de condiciones de vida. Base 2004 (</w:t>
      </w:r>
      <w:hyperlink r:id="rId3" w:history="1">
        <w:r w:rsidR="0012584D" w:rsidRPr="005A5238">
          <w:rPr>
            <w:rStyle w:val="Hipervnculo"/>
            <w:sz w:val="20"/>
            <w:szCs w:val="20"/>
          </w:rPr>
          <w:t>https://www.ine.es/jaxiT3/Tabla.htm?t=4583&amp;L=0</w:t>
        </w:r>
      </w:hyperlink>
      <w:r w:rsidR="0012584D" w:rsidRPr="005A5238">
        <w:rPr>
          <w:sz w:val="20"/>
          <w:szCs w:val="20"/>
        </w:rPr>
        <w:t>, consultado 15-3-2025).</w:t>
      </w:r>
    </w:p>
  </w:footnote>
  <w:footnote w:id="10">
    <w:p w14:paraId="3E13A0DD" w14:textId="75BA0CC1" w:rsidR="007F5847" w:rsidRPr="005A5238" w:rsidRDefault="007F5847" w:rsidP="00414A69">
      <w:pPr>
        <w:pStyle w:val="Textonotapie"/>
        <w:jc w:val="both"/>
        <w:rPr>
          <w:sz w:val="20"/>
          <w:szCs w:val="20"/>
        </w:rPr>
      </w:pPr>
      <w:r w:rsidRPr="005A5238">
        <w:rPr>
          <w:rStyle w:val="Refdenotaalpie"/>
          <w:sz w:val="20"/>
          <w:szCs w:val="20"/>
        </w:rPr>
        <w:footnoteRef/>
      </w:r>
      <w:r w:rsidRPr="005A5238">
        <w:rPr>
          <w:sz w:val="20"/>
          <w:szCs w:val="20"/>
        </w:rPr>
        <w:t xml:space="preserve"> Registradores de la Propiedad, </w:t>
      </w:r>
      <w:r w:rsidR="00C10B36" w:rsidRPr="005A5238">
        <w:rPr>
          <w:i/>
          <w:iCs/>
          <w:sz w:val="20"/>
          <w:szCs w:val="20"/>
        </w:rPr>
        <w:t>Estadística Registral Inmobiliaria</w:t>
      </w:r>
      <w:r w:rsidR="00C10B36" w:rsidRPr="005A5238">
        <w:rPr>
          <w:sz w:val="20"/>
          <w:szCs w:val="20"/>
        </w:rPr>
        <w:t>, Anuario 2023,</w:t>
      </w:r>
      <w:r w:rsidR="005117DE" w:rsidRPr="005A5238">
        <w:rPr>
          <w:sz w:val="20"/>
          <w:szCs w:val="20"/>
        </w:rPr>
        <w:t xml:space="preserve"> pp. 71 </w:t>
      </w:r>
      <w:r w:rsidR="00C647E2" w:rsidRPr="005A5238">
        <w:rPr>
          <w:sz w:val="20"/>
          <w:szCs w:val="20"/>
        </w:rPr>
        <w:t>y</w:t>
      </w:r>
      <w:r w:rsidR="005117DE" w:rsidRPr="005A5238">
        <w:rPr>
          <w:sz w:val="20"/>
          <w:szCs w:val="20"/>
        </w:rPr>
        <w:t xml:space="preserve"> ss</w:t>
      </w:r>
      <w:r w:rsidR="00C10B36" w:rsidRPr="005A5238">
        <w:rPr>
          <w:sz w:val="20"/>
          <w:szCs w:val="20"/>
        </w:rPr>
        <w:t xml:space="preserve">. Disponible en: </w:t>
      </w:r>
      <w:hyperlink r:id="rId4" w:history="1">
        <w:r w:rsidR="00E27819" w:rsidRPr="005A5238">
          <w:rPr>
            <w:rStyle w:val="Hipervnculo"/>
            <w:sz w:val="20"/>
            <w:szCs w:val="20"/>
          </w:rPr>
          <w:t>https://www.registradores.org/actualidad/portal-estadistico-registral/estadisticas-de-propiedad</w:t>
        </w:r>
      </w:hyperlink>
      <w:r w:rsidR="00E27819" w:rsidRPr="005A5238">
        <w:rPr>
          <w:sz w:val="20"/>
          <w:szCs w:val="20"/>
        </w:rPr>
        <w:t xml:space="preserve"> (</w:t>
      </w:r>
      <w:r w:rsidR="006C4625" w:rsidRPr="005A5238">
        <w:rPr>
          <w:sz w:val="20"/>
          <w:szCs w:val="20"/>
        </w:rPr>
        <w:t>consultado 10-1-2025</w:t>
      </w:r>
      <w:r w:rsidR="00E27819" w:rsidRPr="005A5238">
        <w:rPr>
          <w:sz w:val="20"/>
          <w:szCs w:val="20"/>
        </w:rPr>
        <w:t>).</w:t>
      </w:r>
    </w:p>
  </w:footnote>
  <w:footnote w:id="11">
    <w:p w14:paraId="501C0D4F" w14:textId="4BA75884" w:rsidR="008C1DC3" w:rsidRPr="005A5238" w:rsidRDefault="008C1DC3" w:rsidP="00414A69">
      <w:pPr>
        <w:pStyle w:val="Textonotapie"/>
        <w:jc w:val="both"/>
        <w:rPr>
          <w:sz w:val="20"/>
          <w:szCs w:val="20"/>
        </w:rPr>
      </w:pPr>
      <w:r w:rsidRPr="005A5238">
        <w:rPr>
          <w:rStyle w:val="Refdenotaalpie"/>
          <w:sz w:val="20"/>
          <w:szCs w:val="20"/>
        </w:rPr>
        <w:footnoteRef/>
      </w:r>
      <w:r w:rsidRPr="005A5238">
        <w:rPr>
          <w:sz w:val="20"/>
          <w:szCs w:val="20"/>
        </w:rPr>
        <w:t xml:space="preserve"> IN</w:t>
      </w:r>
      <w:r w:rsidR="00505EBB" w:rsidRPr="005A5238">
        <w:rPr>
          <w:sz w:val="20"/>
          <w:szCs w:val="20"/>
        </w:rPr>
        <w:t>E,</w:t>
      </w:r>
      <w:r w:rsidR="00680D5B" w:rsidRPr="005A5238">
        <w:rPr>
          <w:sz w:val="20"/>
          <w:szCs w:val="20"/>
        </w:rPr>
        <w:t xml:space="preserve"> </w:t>
      </w:r>
      <w:r w:rsidR="00680D5B" w:rsidRPr="005A5238">
        <w:rPr>
          <w:i/>
          <w:iCs/>
          <w:sz w:val="20"/>
          <w:szCs w:val="20"/>
        </w:rPr>
        <w:t>Hogares/personas según régimen de tenencia de la vivienda, nacionalidad de sus miembros y nivel de ingresos mensuales netos del hogar</w:t>
      </w:r>
      <w:r w:rsidR="00680D5B" w:rsidRPr="005A5238">
        <w:rPr>
          <w:sz w:val="20"/>
          <w:szCs w:val="20"/>
        </w:rPr>
        <w:t xml:space="preserve"> (</w:t>
      </w:r>
      <w:hyperlink r:id="rId5" w:history="1">
        <w:r w:rsidR="00680D5B" w:rsidRPr="005A5238">
          <w:rPr>
            <w:rStyle w:val="Hipervnculo"/>
            <w:sz w:val="20"/>
            <w:szCs w:val="20"/>
          </w:rPr>
          <w:t>https://www.ine.es/jaxi/Tabla.htm?tpx=61873&amp;L=0</w:t>
        </w:r>
      </w:hyperlink>
      <w:r w:rsidR="00C647E2" w:rsidRPr="005A5238">
        <w:rPr>
          <w:sz w:val="20"/>
          <w:szCs w:val="20"/>
        </w:rPr>
        <w:t>; consultado 10-1-2025</w:t>
      </w:r>
      <w:r w:rsidR="00680D5B" w:rsidRPr="005A5238">
        <w:rPr>
          <w:sz w:val="20"/>
          <w:szCs w:val="20"/>
        </w:rPr>
        <w:t>).</w:t>
      </w:r>
    </w:p>
  </w:footnote>
  <w:footnote w:id="12">
    <w:p w14:paraId="44D55DDD" w14:textId="4632424C" w:rsidR="00AF4253" w:rsidRPr="005A5238" w:rsidRDefault="00AF4253" w:rsidP="00CA797F">
      <w:pPr>
        <w:pStyle w:val="Textonotapie"/>
        <w:jc w:val="both"/>
        <w:rPr>
          <w:sz w:val="20"/>
          <w:szCs w:val="20"/>
        </w:rPr>
      </w:pPr>
      <w:r w:rsidRPr="005A5238">
        <w:rPr>
          <w:rStyle w:val="Refdenotaalpie"/>
          <w:sz w:val="20"/>
          <w:szCs w:val="20"/>
        </w:rPr>
        <w:footnoteRef/>
      </w:r>
      <w:r w:rsidR="00D27F3C" w:rsidRPr="005A5238">
        <w:rPr>
          <w:sz w:val="20"/>
          <w:szCs w:val="20"/>
        </w:rPr>
        <w:t xml:space="preserve"> Elaborado sobre la base de los datos del Catastro. Ver</w:t>
      </w:r>
      <w:r w:rsidRPr="005A5238">
        <w:rPr>
          <w:sz w:val="20"/>
          <w:szCs w:val="20"/>
        </w:rPr>
        <w:t xml:space="preserve"> Raúl Sánchez / </w:t>
      </w:r>
      <w:r w:rsidRPr="005A5238">
        <w:rPr>
          <w:sz w:val="20"/>
          <w:szCs w:val="20"/>
        </w:rPr>
        <w:t>Victòria Oliveres / Yuly Jara / David Noriega, España tiene más de un millón de viviendas en manos de grandes propietarios, El Diario.es (</w:t>
      </w:r>
      <w:hyperlink r:id="rId6" w:history="1">
        <w:r w:rsidRPr="005A5238">
          <w:rPr>
            <w:rStyle w:val="Hipervnculo"/>
            <w:sz w:val="20"/>
            <w:szCs w:val="20"/>
          </w:rPr>
          <w:t>https://www.eldiario.es/economia/mapa-grandes-tenedores-10-viviendas-municipio-municipio_1_11844214.html</w:t>
        </w:r>
      </w:hyperlink>
      <w:r w:rsidRPr="005A5238">
        <w:rPr>
          <w:sz w:val="20"/>
          <w:szCs w:val="20"/>
        </w:rPr>
        <w:t>, consultado 10-3-2025).</w:t>
      </w:r>
    </w:p>
  </w:footnote>
  <w:footnote w:id="13">
    <w:p w14:paraId="6295CBC8" w14:textId="418D6D27" w:rsidR="00BA1CAC" w:rsidRPr="005A5238" w:rsidRDefault="00BA1CAC"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El precio de una habitación en España cuesta de media 488 euros al mes, es decir, un 57,3% más que hace 5 años (desde 2019) y un 89,4% más respecto a hace 9 años (2015), según el estudio “Viviendas compartidas en España en 2024” elaborado por Fotocasa </w:t>
      </w:r>
      <w:r w:rsidR="0087250D" w:rsidRPr="005A5238">
        <w:rPr>
          <w:sz w:val="20"/>
          <w:szCs w:val="20"/>
        </w:rPr>
        <w:t>(</w:t>
      </w:r>
      <w:hyperlink r:id="rId7" w:history="1">
        <w:r w:rsidR="0087250D" w:rsidRPr="005A5238">
          <w:rPr>
            <w:rStyle w:val="Hipervnculo"/>
            <w:sz w:val="20"/>
            <w:szCs w:val="20"/>
          </w:rPr>
          <w:t>https://blogprofesional.fotocasa.es/una-habitacion-en-espana-cuesta-un-90-mas-que-en-2015/</w:t>
        </w:r>
      </w:hyperlink>
      <w:r w:rsidR="0087250D" w:rsidRPr="005A5238">
        <w:rPr>
          <w:sz w:val="20"/>
          <w:szCs w:val="20"/>
        </w:rPr>
        <w:t xml:space="preserve">, </w:t>
      </w:r>
      <w:r w:rsidR="00C647E2" w:rsidRPr="005A5238">
        <w:rPr>
          <w:sz w:val="20"/>
          <w:szCs w:val="20"/>
        </w:rPr>
        <w:t>consultado 10-1-2025</w:t>
      </w:r>
      <w:r w:rsidR="0087250D" w:rsidRPr="005A5238">
        <w:rPr>
          <w:sz w:val="20"/>
          <w:szCs w:val="20"/>
        </w:rPr>
        <w:t>).</w:t>
      </w:r>
    </w:p>
  </w:footnote>
  <w:footnote w:id="14">
    <w:p w14:paraId="7B03150D" w14:textId="2337981F" w:rsidR="00B80D5E" w:rsidRPr="005A5238" w:rsidRDefault="00B80D5E"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Pr="005A5238">
        <w:rPr>
          <w:i/>
          <w:iCs/>
          <w:sz w:val="20"/>
          <w:szCs w:val="20"/>
        </w:rPr>
        <w:t>Encuesta sobre las personas sin hogar</w:t>
      </w:r>
      <w:r w:rsidRPr="005A5238">
        <w:rPr>
          <w:sz w:val="20"/>
          <w:szCs w:val="20"/>
        </w:rPr>
        <w:t xml:space="preserve">, 2022 Disponible </w:t>
      </w:r>
      <w:r w:rsidR="00C647E2" w:rsidRPr="005A5238">
        <w:rPr>
          <w:sz w:val="20"/>
          <w:szCs w:val="20"/>
        </w:rPr>
        <w:t>en</w:t>
      </w:r>
      <w:r w:rsidRPr="005A5238">
        <w:rPr>
          <w:sz w:val="20"/>
          <w:szCs w:val="20"/>
        </w:rPr>
        <w:t xml:space="preserve">: </w:t>
      </w:r>
      <w:hyperlink r:id="rId8" w:anchor=":~:text=Un%20total%20de%2028.552%20personas,8%25%20porque%20perdió%20el%20trabajo" w:history="1">
        <w:r w:rsidRPr="005A5238">
          <w:rPr>
            <w:rStyle w:val="Hipervnculo"/>
            <w:sz w:val="20"/>
            <w:szCs w:val="20"/>
          </w:rPr>
          <w:t>https://www.ine.es/dyngs/INEbase/operacion.htm?c=Estadistica_C&amp;cid=1254736176817&amp;menu=ultiDatos&amp;idp=1254735976608#:~:text=Un%20total%20de%2028.552%20personas,8%25%20porque%20perdió%20el%20trabajo</w:t>
        </w:r>
      </w:hyperlink>
      <w:r w:rsidR="00C647E2" w:rsidRPr="005A5238">
        <w:rPr>
          <w:sz w:val="20"/>
          <w:szCs w:val="20"/>
        </w:rPr>
        <w:t xml:space="preserve"> (consultado 10-1-2025).</w:t>
      </w:r>
    </w:p>
  </w:footnote>
  <w:footnote w:id="15">
    <w:p w14:paraId="5BB8CF8D" w14:textId="69CD4266" w:rsidR="00B80D5E" w:rsidRPr="005A5238" w:rsidRDefault="00B80D5E" w:rsidP="00414A69">
      <w:pPr>
        <w:pStyle w:val="Textonotapie"/>
        <w:jc w:val="both"/>
        <w:rPr>
          <w:sz w:val="20"/>
          <w:szCs w:val="20"/>
        </w:rPr>
      </w:pPr>
      <w:r w:rsidRPr="005A5238">
        <w:rPr>
          <w:rStyle w:val="Refdenotaalpie"/>
          <w:rFonts w:eastAsiaTheme="majorEastAsia"/>
          <w:sz w:val="20"/>
          <w:szCs w:val="20"/>
        </w:rPr>
        <w:footnoteRef/>
      </w:r>
      <w:r w:rsidRPr="005A5238">
        <w:rPr>
          <w:sz w:val="20"/>
          <w:szCs w:val="20"/>
        </w:rPr>
        <w:t xml:space="preserve"> </w:t>
      </w:r>
      <w:r w:rsidRPr="005A5238">
        <w:rPr>
          <w:sz w:val="20"/>
          <w:szCs w:val="20"/>
        </w:rPr>
        <w:t xml:space="preserve">Institut Cerdà, 2023. Disponible </w:t>
      </w:r>
      <w:r w:rsidR="00C647E2" w:rsidRPr="005A5238">
        <w:rPr>
          <w:sz w:val="20"/>
          <w:szCs w:val="20"/>
        </w:rPr>
        <w:t>en</w:t>
      </w:r>
      <w:r w:rsidRPr="005A5238">
        <w:rPr>
          <w:sz w:val="20"/>
          <w:szCs w:val="20"/>
        </w:rPr>
        <w:t xml:space="preserve">: </w:t>
      </w:r>
      <w:hyperlink r:id="rId9" w:history="1">
        <w:r w:rsidRPr="005A5238">
          <w:rPr>
            <w:rStyle w:val="Hipervnculo"/>
            <w:rFonts w:eastAsiaTheme="majorEastAsia"/>
            <w:sz w:val="20"/>
            <w:szCs w:val="20"/>
          </w:rPr>
          <w:t>https://www.icerda.org/es/la-ocupacion-ilegal-de-viviendas-se-cifra-en-78-800-en-espana/</w:t>
        </w:r>
      </w:hyperlink>
      <w:r w:rsidR="00C647E2" w:rsidRPr="005A5238">
        <w:rPr>
          <w:sz w:val="20"/>
          <w:szCs w:val="20"/>
        </w:rPr>
        <w:t xml:space="preserve"> (consultado 10-1-2025).</w:t>
      </w:r>
    </w:p>
  </w:footnote>
  <w:footnote w:id="16">
    <w:p w14:paraId="5440AD4C" w14:textId="5CD890E2" w:rsidR="00DD4BDA" w:rsidRPr="005A5238" w:rsidRDefault="00DD4BDA" w:rsidP="00CA797F">
      <w:pPr>
        <w:pStyle w:val="Textonotapie"/>
        <w:jc w:val="both"/>
        <w:rPr>
          <w:sz w:val="20"/>
          <w:szCs w:val="20"/>
        </w:rPr>
      </w:pPr>
      <w:r w:rsidRPr="005A5238">
        <w:rPr>
          <w:rStyle w:val="Refdenotaalpie"/>
          <w:sz w:val="20"/>
          <w:szCs w:val="20"/>
        </w:rPr>
        <w:footnoteRef/>
      </w:r>
      <w:r w:rsidRPr="005A5238">
        <w:rPr>
          <w:sz w:val="20"/>
          <w:szCs w:val="20"/>
        </w:rPr>
        <w:t xml:space="preserve"> </w:t>
      </w:r>
      <w:r w:rsidR="00335784" w:rsidRPr="005A5238">
        <w:rPr>
          <w:sz w:val="20"/>
          <w:szCs w:val="20"/>
        </w:rPr>
        <w:t xml:space="preserve">El proyecto ha sido concedido en el marco del Proyecto Europeo </w:t>
      </w:r>
      <w:r w:rsidR="00335784" w:rsidRPr="005A5238">
        <w:rPr>
          <w:sz w:val="20"/>
          <w:szCs w:val="20"/>
        </w:rPr>
        <w:t xml:space="preserve">FutuResilience. </w:t>
      </w:r>
      <w:r w:rsidR="00335784" w:rsidRPr="005A5238">
        <w:rPr>
          <w:sz w:val="20"/>
          <w:szCs w:val="20"/>
          <w:lang w:val="en-US"/>
        </w:rPr>
        <w:t>European Union’s Horizon Europe research and innovation programme under gran agreement No 10109445 (</w:t>
      </w:r>
      <w:hyperlink r:id="rId10" w:history="1">
        <w:r w:rsidR="00335784" w:rsidRPr="005A5238">
          <w:rPr>
            <w:rStyle w:val="Hipervnculo"/>
            <w:sz w:val="20"/>
            <w:szCs w:val="20"/>
            <w:lang w:val="en-US"/>
          </w:rPr>
          <w:t>https://futuresilience.eu</w:t>
        </w:r>
      </w:hyperlink>
      <w:r w:rsidR="00335784" w:rsidRPr="005A5238">
        <w:rPr>
          <w:sz w:val="20"/>
          <w:szCs w:val="20"/>
          <w:lang w:val="en-US"/>
        </w:rPr>
        <w:t xml:space="preserve">). </w:t>
      </w:r>
      <w:r w:rsidR="00D71396" w:rsidRPr="005A5238">
        <w:rPr>
          <w:sz w:val="20"/>
          <w:szCs w:val="20"/>
        </w:rPr>
        <w:t xml:space="preserve">El proyecto busca examinar y comprender el fenómeno del “Liquid Housing” en la ciudad de Tarragona, que se caracteriza por la idea de que casi cualquier </w:t>
      </w:r>
      <w:r w:rsidR="003E1A42" w:rsidRPr="005A5238">
        <w:rPr>
          <w:sz w:val="20"/>
          <w:szCs w:val="20"/>
        </w:rPr>
        <w:t>tenencia de la vivienda</w:t>
      </w:r>
      <w:r w:rsidR="00D71396" w:rsidRPr="005A5238">
        <w:rPr>
          <w:sz w:val="20"/>
          <w:szCs w:val="20"/>
        </w:rPr>
        <w:t xml:space="preserve"> puede considerarse hoy en día como una vivienda adecuada. El concepto incluye las situaciones de okupación, el subarrendamiento ilegal, el alquiler compartido forzoso y las viviendas sobreocupadas o deficientes. </w:t>
      </w:r>
      <w:r w:rsidR="00335784" w:rsidRPr="005A5238">
        <w:rPr>
          <w:sz w:val="20"/>
          <w:szCs w:val="20"/>
        </w:rPr>
        <w:t xml:space="preserve">Para poder analizar el fenómeno se han llevado a cabo dos </w:t>
      </w:r>
      <w:r w:rsidR="00335784" w:rsidRPr="005A5238">
        <w:rPr>
          <w:sz w:val="20"/>
          <w:szCs w:val="20"/>
        </w:rPr>
        <w:t>aproximaciones,</w:t>
      </w:r>
      <w:r w:rsidR="00950923" w:rsidRPr="005A5238">
        <w:rPr>
          <w:sz w:val="20"/>
          <w:szCs w:val="20"/>
        </w:rPr>
        <w:t>:</w:t>
      </w:r>
      <w:r w:rsidR="00335784" w:rsidRPr="005A5238">
        <w:rPr>
          <w:sz w:val="20"/>
          <w:szCs w:val="20"/>
        </w:rPr>
        <w:t xml:space="preserve"> una a las comunidades de propietarios y otra a la ciudadanía en general.</w:t>
      </w:r>
      <w:r w:rsidR="00335784" w:rsidRPr="005A5238">
        <w:rPr>
          <w:rFonts w:eastAsia="Raleway"/>
          <w:color w:val="000000" w:themeColor="text1"/>
          <w:kern w:val="24"/>
          <w:sz w:val="20"/>
          <w:szCs w:val="20"/>
          <w:lang w:eastAsia="en-US"/>
          <w14:ligatures w14:val="standardContextual"/>
        </w:rPr>
        <w:t xml:space="preserve"> La encuesta se realizó entre el </w:t>
      </w:r>
      <w:r w:rsidR="00335784" w:rsidRPr="005A5238">
        <w:rPr>
          <w:sz w:val="20"/>
          <w:szCs w:val="20"/>
        </w:rPr>
        <w:t>8 de mayo y el 10 de octubre de 2024. Contestaron a un cuestionario online un total de 263 personas de población y 41 comunidades de vecinos</w:t>
      </w:r>
      <w:r w:rsidR="00950923" w:rsidRPr="005A5238">
        <w:rPr>
          <w:sz w:val="20"/>
          <w:szCs w:val="20"/>
        </w:rPr>
        <w:t xml:space="preserve">. </w:t>
      </w:r>
      <w:r w:rsidR="00192133" w:rsidRPr="005A5238">
        <w:rPr>
          <w:sz w:val="20"/>
          <w:szCs w:val="20"/>
        </w:rPr>
        <w:t xml:space="preserve">Más información en </w:t>
      </w:r>
      <w:hyperlink r:id="rId11" w:history="1">
        <w:r w:rsidR="00192133" w:rsidRPr="005A5238">
          <w:rPr>
            <w:rStyle w:val="Hipervnculo"/>
            <w:sz w:val="20"/>
            <w:szCs w:val="20"/>
          </w:rPr>
          <w:t>https://housing.urv.cat/liquid-housing/</w:t>
        </w:r>
      </w:hyperlink>
      <w:r w:rsidR="00950923" w:rsidRPr="005A5238">
        <w:rPr>
          <w:sz w:val="20"/>
          <w:szCs w:val="20"/>
        </w:rPr>
        <w:t xml:space="preserve"> (consultado 15-3-2025).</w:t>
      </w:r>
    </w:p>
  </w:footnote>
  <w:footnote w:id="17">
    <w:p w14:paraId="3292D4D6" w14:textId="4BF10B97" w:rsidR="00942B64" w:rsidRPr="005A5238" w:rsidRDefault="00942B64"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Decreto Ley</w:t>
      </w:r>
      <w:r w:rsidR="00232B41" w:rsidRPr="005A5238">
        <w:rPr>
          <w:sz w:val="20"/>
          <w:szCs w:val="20"/>
        </w:rPr>
        <w:t xml:space="preserve"> catalán</w:t>
      </w:r>
      <w:r w:rsidR="00C647E2" w:rsidRPr="005A5238">
        <w:rPr>
          <w:sz w:val="20"/>
          <w:szCs w:val="20"/>
        </w:rPr>
        <w:t xml:space="preserve"> 50/2020, de 9 de diciembre, de medidas urgentes para estimular la promoción de vivienda de protección oficial y de nuevas modalidades de alojamiento en régimen de alquiler (DOGC núm. 8292, 11.12.2020</w:t>
      </w:r>
      <w:r w:rsidR="00E017D7" w:rsidRPr="005A5238">
        <w:rPr>
          <w:sz w:val="20"/>
          <w:szCs w:val="20"/>
        </w:rPr>
        <w:t>)</w:t>
      </w:r>
      <w:r w:rsidR="00C647E2" w:rsidRPr="005A5238">
        <w:rPr>
          <w:sz w:val="20"/>
          <w:szCs w:val="20"/>
        </w:rPr>
        <w:t>.</w:t>
      </w:r>
    </w:p>
  </w:footnote>
  <w:footnote w:id="18">
    <w:p w14:paraId="78E76A26" w14:textId="76FB40BC" w:rsidR="004B3756" w:rsidRPr="005A5238" w:rsidRDefault="004B3756"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Ley </w:t>
      </w:r>
      <w:r w:rsidR="00232B41" w:rsidRPr="005A5238">
        <w:rPr>
          <w:sz w:val="20"/>
          <w:szCs w:val="20"/>
        </w:rPr>
        <w:t xml:space="preserve">catalana </w:t>
      </w:r>
      <w:r w:rsidR="00C647E2" w:rsidRPr="005A5238">
        <w:rPr>
          <w:sz w:val="20"/>
          <w:szCs w:val="20"/>
        </w:rPr>
        <w:t xml:space="preserve">1/2022, de 3 de marzo, de modificación de la Ley 18/2007, la Ley 24/2015 y la Ley 4/2016 para afrontar la emergencia en el ámbito de la vivienda (DOGC núm. 8620, 7.3.2022). La obligación de ofrecer un alquiler social se preveía incluso en las situaciones de </w:t>
      </w:r>
      <w:r w:rsidR="00C647E2" w:rsidRPr="005A5238">
        <w:rPr>
          <w:sz w:val="20"/>
          <w:szCs w:val="20"/>
        </w:rPr>
        <w:t xml:space="preserve">okupación (artículo 12, que modificaba la Ley 24/2015), declarado inconstitucional </w:t>
      </w:r>
      <w:r w:rsidR="0076648B" w:rsidRPr="005A5238">
        <w:rPr>
          <w:sz w:val="20"/>
          <w:szCs w:val="20"/>
        </w:rPr>
        <w:t>(https://www.tribunalconstitucional.es/NotasDePrensaDocumentos/NP_2024_098/NOTA%20INFORMATIVA%20Nº%2098-2024.pdf</w:t>
      </w:r>
      <w:r w:rsidR="00C647E2" w:rsidRPr="005A5238">
        <w:rPr>
          <w:sz w:val="20"/>
          <w:szCs w:val="20"/>
        </w:rPr>
        <w:t>, consultado 10-1-2025).</w:t>
      </w:r>
    </w:p>
  </w:footnote>
  <w:footnote w:id="19">
    <w:p w14:paraId="378481E6" w14:textId="7B3B1E57" w:rsidR="00E03EDE" w:rsidRPr="005A5238" w:rsidRDefault="00E03EDE" w:rsidP="00414A69">
      <w:pPr>
        <w:pStyle w:val="Textonotapie"/>
        <w:jc w:val="both"/>
        <w:rPr>
          <w:sz w:val="20"/>
          <w:szCs w:val="20"/>
        </w:rPr>
      </w:pPr>
      <w:r w:rsidRPr="005A5238">
        <w:rPr>
          <w:rStyle w:val="Refdenotaalpie"/>
          <w:rFonts w:eastAsiaTheme="majorEastAsia"/>
          <w:sz w:val="20"/>
          <w:szCs w:val="20"/>
        </w:rPr>
        <w:footnoteRef/>
      </w:r>
      <w:r w:rsidRPr="005A5238">
        <w:rPr>
          <w:sz w:val="20"/>
          <w:szCs w:val="20"/>
          <w:lang w:val="en-US"/>
        </w:rPr>
        <w:t xml:space="preserve"> Special Rapporteur on the right to adequate housing, </w:t>
      </w:r>
      <w:r w:rsidRPr="005A5238">
        <w:rPr>
          <w:i/>
          <w:iCs/>
          <w:sz w:val="20"/>
          <w:szCs w:val="20"/>
          <w:lang w:val="en-US"/>
        </w:rPr>
        <w:t>Women and the right to adequate housing</w:t>
      </w:r>
      <w:r w:rsidRPr="005A5238">
        <w:rPr>
          <w:sz w:val="20"/>
          <w:szCs w:val="20"/>
          <w:lang w:val="en-US"/>
        </w:rPr>
        <w:t xml:space="preserve">. </w:t>
      </w:r>
      <w:r w:rsidRPr="005A5238">
        <w:rPr>
          <w:sz w:val="20"/>
          <w:szCs w:val="20"/>
        </w:rPr>
        <w:t xml:space="preserve">Ver </w:t>
      </w:r>
      <w:hyperlink r:id="rId12" w:history="1">
        <w:r w:rsidRPr="005A5238">
          <w:rPr>
            <w:rStyle w:val="Hipervnculo"/>
            <w:rFonts w:eastAsiaTheme="majorEastAsia"/>
            <w:sz w:val="20"/>
            <w:szCs w:val="20"/>
          </w:rPr>
          <w:t>https://www.ohchr.org/en/special-procedures/sr-housing/women-and-right-adequate-housing</w:t>
        </w:r>
      </w:hyperlink>
      <w:r w:rsidRPr="005A5238">
        <w:rPr>
          <w:sz w:val="20"/>
          <w:szCs w:val="20"/>
        </w:rPr>
        <w:t xml:space="preserve">. Ver también </w:t>
      </w:r>
      <w:hyperlink r:id="rId13" w:history="1">
        <w:r w:rsidRPr="005A5238">
          <w:rPr>
            <w:rStyle w:val="Hipervnculo"/>
            <w:rFonts w:eastAsiaTheme="majorEastAsia"/>
            <w:sz w:val="20"/>
            <w:szCs w:val="20"/>
          </w:rPr>
          <w:t>https://www.ohchr.org/sites/default/files/Documents/Publications/WomenHousing_HR.PUB.11.2.pdf</w:t>
        </w:r>
      </w:hyperlink>
      <w:r w:rsidRPr="005A5238">
        <w:rPr>
          <w:sz w:val="20"/>
          <w:szCs w:val="20"/>
        </w:rPr>
        <w:t xml:space="preserve">. </w:t>
      </w:r>
    </w:p>
  </w:footnote>
  <w:footnote w:id="20">
    <w:p w14:paraId="47A15253" w14:textId="37AD0BC3" w:rsidR="00E24222" w:rsidRPr="005A5238" w:rsidRDefault="00E24222" w:rsidP="00CA797F">
      <w:pPr>
        <w:pStyle w:val="Textonotapie"/>
        <w:jc w:val="both"/>
        <w:rPr>
          <w:sz w:val="20"/>
          <w:szCs w:val="20"/>
        </w:rPr>
      </w:pPr>
      <w:r w:rsidRPr="005A5238">
        <w:rPr>
          <w:rStyle w:val="Refdenotaalpie"/>
          <w:sz w:val="20"/>
          <w:szCs w:val="20"/>
        </w:rPr>
        <w:footnoteRef/>
      </w:r>
      <w:r w:rsidRPr="005A5238">
        <w:rPr>
          <w:sz w:val="20"/>
          <w:szCs w:val="20"/>
        </w:rPr>
        <w:t xml:space="preserve"> López, S., </w:t>
      </w:r>
      <w:r w:rsidR="00C17FE8" w:rsidRPr="005A5238">
        <w:rPr>
          <w:sz w:val="20"/>
          <w:szCs w:val="20"/>
        </w:rPr>
        <w:t xml:space="preserve">La locura del alquiler de habitaciones: 520 euros al mes por ocho metros cuadrados, El País, </w:t>
      </w:r>
      <w:hyperlink r:id="rId14" w:history="1">
        <w:r w:rsidR="00C17FE8" w:rsidRPr="005A5238">
          <w:rPr>
            <w:rStyle w:val="Hipervnculo"/>
            <w:sz w:val="20"/>
            <w:szCs w:val="20"/>
          </w:rPr>
          <w:t>https://elpais.com/economia/negocios/2025-02-08/la-locura-del-alquiler-de-habitaciones-520-euros-al-mes-por-ocho-metros-cuadrados.html</w:t>
        </w:r>
      </w:hyperlink>
      <w:r w:rsidR="00C17FE8" w:rsidRPr="005A5238">
        <w:rPr>
          <w:sz w:val="20"/>
          <w:szCs w:val="20"/>
        </w:rPr>
        <w:t>, consultado 15-3-2025).</w:t>
      </w:r>
    </w:p>
  </w:footnote>
  <w:footnote w:id="21">
    <w:p w14:paraId="253F97CE" w14:textId="26E884EE" w:rsidR="00C54B97" w:rsidRPr="005A5238" w:rsidRDefault="00C54B97"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Real decreto ley 11/2020, de 31 de marzo, por el que se adoptan medidas urgentes complementarias en el ámbito social y económico para hacer frente al COVID-19 (BOE núm. 91, 1.4.2020).</w:t>
      </w:r>
    </w:p>
  </w:footnote>
  <w:footnote w:id="22">
    <w:p w14:paraId="05BD3DF1" w14:textId="2F42C065" w:rsidR="006638CD" w:rsidRPr="005A5238" w:rsidRDefault="006638CD" w:rsidP="00CA797F">
      <w:pPr>
        <w:pStyle w:val="Textonotapie"/>
        <w:jc w:val="both"/>
        <w:rPr>
          <w:sz w:val="20"/>
          <w:szCs w:val="20"/>
        </w:rPr>
      </w:pPr>
      <w:r w:rsidRPr="005A5238">
        <w:rPr>
          <w:rStyle w:val="Refdenotaalpie"/>
          <w:sz w:val="20"/>
          <w:szCs w:val="20"/>
        </w:rPr>
        <w:footnoteRef/>
      </w:r>
      <w:r w:rsidRPr="005A5238">
        <w:rPr>
          <w:sz w:val="20"/>
          <w:szCs w:val="20"/>
        </w:rPr>
        <w:t xml:space="preserve"> Por Real Decreto-ley 9/2024, de 23 de diciembre (BOE núm. 409, 24.12.2024).</w:t>
      </w:r>
    </w:p>
  </w:footnote>
  <w:footnote w:id="23">
    <w:p w14:paraId="6CE751A9" w14:textId="52B5691C" w:rsidR="00DA3D1F" w:rsidRPr="005A5238" w:rsidRDefault="00DA3D1F"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638CD" w:rsidRPr="005A5238">
        <w:rPr>
          <w:sz w:val="20"/>
          <w:szCs w:val="20"/>
        </w:rPr>
        <w:t>Resolución de 18 de diciembre de 2024 de la Presidencia del Instituto Nacional de Estadística (INE), por la que se define el método de cálculo del índice de referencia para la actualización anual de los contratos de arrendamiento de vivienda y que limitará las subidas de renta en 2025 (BOE núm. 306, 20.12.2024); se basa en la Disposición Final primera de la Ley 12/2023, de 24 de mayo, por el derecho a la vivienda (BOE núm. 124, 25.5.23).</w:t>
      </w:r>
    </w:p>
  </w:footnote>
  <w:footnote w:id="24">
    <w:p w14:paraId="2899F762" w14:textId="61454E52" w:rsidR="004A3126" w:rsidRPr="005A5238" w:rsidRDefault="004A3126" w:rsidP="00414A69">
      <w:pPr>
        <w:pStyle w:val="Textonotapie"/>
        <w:jc w:val="both"/>
        <w:rPr>
          <w:sz w:val="20"/>
          <w:szCs w:val="20"/>
          <w:lang w:eastAsia="es-ES_tradnl"/>
        </w:rPr>
      </w:pPr>
      <w:r w:rsidRPr="005A5238">
        <w:rPr>
          <w:rStyle w:val="Refdenotaalpie"/>
          <w:sz w:val="20"/>
          <w:szCs w:val="20"/>
        </w:rPr>
        <w:footnoteRef/>
      </w:r>
      <w:r w:rsidRPr="005A5238">
        <w:rPr>
          <w:sz w:val="20"/>
          <w:szCs w:val="20"/>
        </w:rPr>
        <w:t xml:space="preserve"> Com</w:t>
      </w:r>
      <w:r w:rsidR="0080110E" w:rsidRPr="005A5238">
        <w:rPr>
          <w:sz w:val="20"/>
          <w:szCs w:val="20"/>
        </w:rPr>
        <w:t>o</w:t>
      </w:r>
      <w:r w:rsidRPr="005A5238">
        <w:rPr>
          <w:sz w:val="20"/>
          <w:szCs w:val="20"/>
        </w:rPr>
        <w:t xml:space="preserve"> apunta </w:t>
      </w:r>
      <w:r w:rsidR="00C647E2" w:rsidRPr="005A5238">
        <w:rPr>
          <w:sz w:val="20"/>
          <w:szCs w:val="20"/>
        </w:rPr>
        <w:t xml:space="preserve">el </w:t>
      </w:r>
      <w:r w:rsidRPr="005A5238">
        <w:rPr>
          <w:sz w:val="20"/>
          <w:szCs w:val="20"/>
        </w:rPr>
        <w:t>informe del Banco de España, 2024</w:t>
      </w:r>
      <w:r w:rsidR="00961DA1" w:rsidRPr="005A5238">
        <w:rPr>
          <w:sz w:val="20"/>
          <w:szCs w:val="20"/>
          <w:lang w:eastAsia="es-ES_tradnl"/>
        </w:rPr>
        <w:t>.</w:t>
      </w:r>
    </w:p>
  </w:footnote>
  <w:footnote w:id="25">
    <w:p w14:paraId="4F5188A4" w14:textId="7855D99B" w:rsidR="001362E7" w:rsidRPr="005A5238" w:rsidRDefault="001362E7"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Estos últimos, avalados por el Instituto de Crédito Oficial </w:t>
      </w:r>
      <w:r w:rsidRPr="005A5238">
        <w:rPr>
          <w:sz w:val="20"/>
          <w:szCs w:val="20"/>
        </w:rPr>
        <w:t xml:space="preserve">(ICO), </w:t>
      </w:r>
      <w:hyperlink r:id="rId15" w:history="1">
        <w:r w:rsidRPr="005A5238">
          <w:rPr>
            <w:rStyle w:val="Hipervnculo"/>
            <w:sz w:val="20"/>
            <w:szCs w:val="20"/>
          </w:rPr>
          <w:t>https://www.lamoncloa.gob.es/serviciosdeprensa/notasprensa/vivienda-agenda-urbana/Paginas/2024/solicitar-avales-gobierno-ico-vivienda.aspx</w:t>
        </w:r>
      </w:hyperlink>
      <w:r w:rsidR="00301D0F" w:rsidRPr="005A5238">
        <w:rPr>
          <w:sz w:val="20"/>
          <w:szCs w:val="20"/>
        </w:rPr>
        <w:t xml:space="preserve"> (</w:t>
      </w:r>
      <w:r w:rsidR="00C647E2" w:rsidRPr="005A5238">
        <w:rPr>
          <w:sz w:val="20"/>
          <w:szCs w:val="20"/>
        </w:rPr>
        <w:t>consultado 10-1-2025</w:t>
      </w:r>
      <w:r w:rsidR="00301D0F" w:rsidRPr="005A5238">
        <w:rPr>
          <w:sz w:val="20"/>
          <w:szCs w:val="20"/>
        </w:rPr>
        <w:t>)</w:t>
      </w:r>
      <w:r w:rsidRPr="005A5238">
        <w:rPr>
          <w:sz w:val="20"/>
          <w:szCs w:val="20"/>
        </w:rPr>
        <w:t xml:space="preserve">. </w:t>
      </w:r>
    </w:p>
  </w:footnote>
  <w:footnote w:id="26">
    <w:p w14:paraId="4AB5B7D4" w14:textId="6B899385" w:rsidR="00961DA1" w:rsidRPr="005A5238" w:rsidRDefault="00961DA1"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638CD" w:rsidRPr="005A5238">
        <w:rPr>
          <w:sz w:val="20"/>
          <w:szCs w:val="20"/>
        </w:rPr>
        <w:t xml:space="preserve">Sobre los efectos no deseados del programa </w:t>
      </w:r>
      <w:r w:rsidR="006638CD" w:rsidRPr="005A5238">
        <w:rPr>
          <w:sz w:val="20"/>
          <w:szCs w:val="20"/>
        </w:rPr>
        <w:t xml:space="preserve">Help-to-Buy en Inglaterra, ver </w:t>
      </w:r>
      <w:r w:rsidR="002232C2" w:rsidRPr="005A5238">
        <w:rPr>
          <w:sz w:val="20"/>
          <w:szCs w:val="20"/>
        </w:rPr>
        <w:t>Carozzi</w:t>
      </w:r>
      <w:r w:rsidR="0005268C" w:rsidRPr="005A5238">
        <w:rPr>
          <w:sz w:val="20"/>
          <w:szCs w:val="20"/>
        </w:rPr>
        <w:t xml:space="preserve">, </w:t>
      </w:r>
      <w:r w:rsidR="002232C2" w:rsidRPr="005A5238">
        <w:rPr>
          <w:sz w:val="20"/>
          <w:szCs w:val="20"/>
        </w:rPr>
        <w:t xml:space="preserve">Hilber </w:t>
      </w:r>
      <w:r w:rsidR="0005268C" w:rsidRPr="005A5238">
        <w:rPr>
          <w:sz w:val="20"/>
          <w:szCs w:val="20"/>
        </w:rPr>
        <w:t>y</w:t>
      </w:r>
      <w:r w:rsidR="00846380" w:rsidRPr="005A5238">
        <w:rPr>
          <w:sz w:val="20"/>
          <w:szCs w:val="20"/>
        </w:rPr>
        <w:t xml:space="preserve"> </w:t>
      </w:r>
      <w:r w:rsidR="002232C2" w:rsidRPr="005A5238">
        <w:rPr>
          <w:sz w:val="20"/>
          <w:szCs w:val="20"/>
        </w:rPr>
        <w:t>Yu</w:t>
      </w:r>
      <w:r w:rsidR="00846380" w:rsidRPr="005A5238">
        <w:rPr>
          <w:sz w:val="20"/>
          <w:szCs w:val="20"/>
        </w:rPr>
        <w:t>,</w:t>
      </w:r>
      <w:r w:rsidR="009D726B" w:rsidRPr="005A5238">
        <w:rPr>
          <w:sz w:val="20"/>
          <w:szCs w:val="20"/>
        </w:rPr>
        <w:t xml:space="preserve"> </w:t>
      </w:r>
      <w:r w:rsidR="00846380" w:rsidRPr="005A5238">
        <w:rPr>
          <w:sz w:val="20"/>
          <w:szCs w:val="20"/>
        </w:rPr>
        <w:t>2019</w:t>
      </w:r>
      <w:r w:rsidR="00DE72AF" w:rsidRPr="005A5238">
        <w:rPr>
          <w:sz w:val="20"/>
          <w:szCs w:val="20"/>
        </w:rPr>
        <w:t xml:space="preserve">. </w:t>
      </w:r>
    </w:p>
  </w:footnote>
  <w:footnote w:id="27">
    <w:p w14:paraId="3AA986D2" w14:textId="0F8CD07A" w:rsidR="00DE72AF" w:rsidRPr="005A5238" w:rsidRDefault="00DE72AF"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Ley 12/2023, de 24 de mayo, por el derecho a la vivienda.</w:t>
      </w:r>
    </w:p>
  </w:footnote>
  <w:footnote w:id="28">
    <w:p w14:paraId="4F88A63D" w14:textId="5D654037" w:rsidR="003A0E0E" w:rsidRPr="005A5238" w:rsidRDefault="003A0E0E" w:rsidP="00CA797F">
      <w:pPr>
        <w:pStyle w:val="Textonotapie"/>
        <w:jc w:val="both"/>
        <w:rPr>
          <w:sz w:val="20"/>
          <w:szCs w:val="20"/>
        </w:rPr>
      </w:pPr>
      <w:r w:rsidRPr="005A5238">
        <w:rPr>
          <w:rStyle w:val="Refdenotaalpie"/>
          <w:sz w:val="20"/>
          <w:szCs w:val="20"/>
        </w:rPr>
        <w:footnoteRef/>
      </w:r>
      <w:r w:rsidRPr="005A5238">
        <w:rPr>
          <w:sz w:val="20"/>
          <w:szCs w:val="20"/>
        </w:rPr>
        <w:t xml:space="preserve"> S</w:t>
      </w:r>
      <w:r w:rsidR="006B3E4E" w:rsidRPr="005A5238">
        <w:rPr>
          <w:sz w:val="20"/>
          <w:szCs w:val="20"/>
        </w:rPr>
        <w:t xml:space="preserve">TC </w:t>
      </w:r>
      <w:r w:rsidRPr="005A5238">
        <w:rPr>
          <w:sz w:val="20"/>
          <w:szCs w:val="20"/>
        </w:rPr>
        <w:t>79/202</w:t>
      </w:r>
      <w:r w:rsidR="006B3E4E" w:rsidRPr="005A5238">
        <w:rPr>
          <w:sz w:val="20"/>
          <w:szCs w:val="20"/>
        </w:rPr>
        <w:t>4.</w:t>
      </w:r>
    </w:p>
  </w:footnote>
  <w:footnote w:id="29">
    <w:p w14:paraId="2229E870" w14:textId="382F42BD" w:rsidR="00DA5DB1" w:rsidRPr="005A5238" w:rsidRDefault="00DA5DB1" w:rsidP="00CA797F">
      <w:pPr>
        <w:pStyle w:val="Textonotapie"/>
        <w:jc w:val="both"/>
        <w:rPr>
          <w:sz w:val="20"/>
          <w:szCs w:val="20"/>
        </w:rPr>
      </w:pPr>
      <w:r w:rsidRPr="005A5238">
        <w:rPr>
          <w:rStyle w:val="Refdenotaalpie"/>
          <w:sz w:val="20"/>
          <w:szCs w:val="20"/>
        </w:rPr>
        <w:footnoteRef/>
      </w:r>
      <w:r w:rsidRPr="005A5238">
        <w:rPr>
          <w:sz w:val="20"/>
          <w:szCs w:val="20"/>
        </w:rPr>
        <w:t xml:space="preserve"> </w:t>
      </w:r>
      <w:r w:rsidR="003E704E" w:rsidRPr="005A5238">
        <w:rPr>
          <w:sz w:val="20"/>
          <w:szCs w:val="20"/>
        </w:rPr>
        <w:t>BOE núm. 51, 28.2.2025.</w:t>
      </w:r>
    </w:p>
  </w:footnote>
  <w:footnote w:id="30">
    <w:p w14:paraId="16CFD947" w14:textId="7D1D6C54" w:rsidR="001A605E" w:rsidRPr="005A5238" w:rsidRDefault="001A605E"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Resolución TER/800/2024, de 13 de marzo, por la que se modifica la Resolución TER/2940/2023, de 11 de agosto, por la que se declaran zona de mercado residencial tensionado varios municipios, de acuerdo con la Ley estatal 12/2023, de 14 de mayo, por el derecho a la vivienda</w:t>
      </w:r>
      <w:r w:rsidRPr="005A5238">
        <w:rPr>
          <w:sz w:val="20"/>
          <w:szCs w:val="20"/>
        </w:rPr>
        <w:t>.</w:t>
      </w:r>
    </w:p>
  </w:footnote>
  <w:footnote w:id="31">
    <w:p w14:paraId="6CAD69D5" w14:textId="40159351" w:rsidR="00C65772" w:rsidRPr="005A5238" w:rsidRDefault="00C65772" w:rsidP="00CA797F">
      <w:pPr>
        <w:pStyle w:val="Textonotapie"/>
        <w:jc w:val="both"/>
        <w:rPr>
          <w:sz w:val="20"/>
          <w:szCs w:val="20"/>
        </w:rPr>
      </w:pPr>
      <w:r w:rsidRPr="005A5238">
        <w:rPr>
          <w:rStyle w:val="Refdenotaalpie"/>
          <w:sz w:val="20"/>
          <w:szCs w:val="20"/>
        </w:rPr>
        <w:footnoteRef/>
      </w:r>
      <w:r w:rsidRPr="005A5238">
        <w:rPr>
          <w:sz w:val="20"/>
          <w:szCs w:val="20"/>
        </w:rPr>
        <w:t xml:space="preserve"> </w:t>
      </w:r>
      <w:hyperlink r:id="rId16" w:history="1">
        <w:r w:rsidR="007157EC" w:rsidRPr="005A5238">
          <w:rPr>
            <w:rStyle w:val="Hipervnculo"/>
            <w:sz w:val="20"/>
            <w:szCs w:val="20"/>
          </w:rPr>
          <w:t>https://www.lavanguardia.com/economia/20241009/10007925/barcelona-perdido-75-oferta-alquiler-permanente-cinco-anos.html</w:t>
        </w:r>
      </w:hyperlink>
      <w:r w:rsidR="00301D0F" w:rsidRPr="005A5238">
        <w:rPr>
          <w:sz w:val="20"/>
          <w:szCs w:val="20"/>
        </w:rPr>
        <w:t xml:space="preserve"> (</w:t>
      </w:r>
      <w:r w:rsidR="00C647E2" w:rsidRPr="005A5238">
        <w:rPr>
          <w:sz w:val="20"/>
          <w:szCs w:val="20"/>
        </w:rPr>
        <w:t>consultado 10-1-2025</w:t>
      </w:r>
      <w:r w:rsidR="00301D0F" w:rsidRPr="005A5238">
        <w:rPr>
          <w:sz w:val="20"/>
          <w:szCs w:val="20"/>
        </w:rPr>
        <w:t>).</w:t>
      </w:r>
    </w:p>
  </w:footnote>
  <w:footnote w:id="32">
    <w:p w14:paraId="64480C12" w14:textId="0FDC7E55" w:rsidR="00172790" w:rsidRPr="005A5238" w:rsidRDefault="00172790" w:rsidP="00414A69">
      <w:pPr>
        <w:pStyle w:val="Textonotapie"/>
        <w:jc w:val="both"/>
        <w:rPr>
          <w:b/>
          <w:bCs/>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En Cataluña, por Ley 4/2016, de 23 de diciembre, de medidas de protección del derecho a la vivienda de las personas en riesgo de exclusión residencial (DOGC núm. 7276, 29.12.2016) (expropiación), y la Ley 14/2015, de 21 de julio, del impuesto sobre las viviendas vacías, y de modificación de normas tributarias y de la Ley 3/2012 (DOGC núm. 6919, 23.7.2015).</w:t>
      </w:r>
    </w:p>
  </w:footnote>
  <w:footnote w:id="33">
    <w:p w14:paraId="610DB9B5" w14:textId="019990C2" w:rsidR="003A2C89" w:rsidRPr="005A5238" w:rsidRDefault="003A2C89"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El informe de </w:t>
      </w:r>
      <w:r w:rsidR="00C647E2" w:rsidRPr="005A5238">
        <w:rPr>
          <w:sz w:val="20"/>
          <w:szCs w:val="20"/>
        </w:rPr>
        <w:t xml:space="preserve">Ivalua sobre el impuesto de las viviendas vacías (2023) ponía de manifiesto que “En términos del mercado inmobiliario, no se observan cambios en el porcentaje de viviendas vacías ni en el precio del alquiler como consecuencia de 'impuesto”, disponible en </w:t>
      </w:r>
      <w:hyperlink r:id="rId17" w:history="1">
        <w:r w:rsidR="00C647E2" w:rsidRPr="005A5238">
          <w:rPr>
            <w:rStyle w:val="Hipervnculo"/>
            <w:sz w:val="20"/>
            <w:szCs w:val="20"/>
          </w:rPr>
          <w:t>https://ivalua.cat/</w:t>
        </w:r>
      </w:hyperlink>
      <w:r w:rsidR="00C647E2" w:rsidRPr="005A5238">
        <w:rPr>
          <w:sz w:val="20"/>
          <w:szCs w:val="20"/>
        </w:rPr>
        <w:t xml:space="preserve">. </w:t>
      </w:r>
    </w:p>
  </w:footnote>
  <w:footnote w:id="34">
    <w:p w14:paraId="4DC2A68F" w14:textId="399091B9" w:rsidR="00044558" w:rsidRPr="005A5238" w:rsidRDefault="00044558"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Decreto Ley 3/2023, de 7 de noviembre, de medidas urgentes sobre el régimen urbanístico de las viviendas de uso turístico (DOGC núm. 9036, 8.11.2023). La memoria justificativa que acompaña a esta norma sólo pone un ejemplo de impacto de las viviendas de uso turístico en el mercado de alquiler en Barcelona, pero es la base para sujetar a 262 municipios a un régimen de licencia urbanística previa. Más allá va </w:t>
      </w:r>
      <w:r w:rsidR="00C647E2" w:rsidRPr="005A5238">
        <w:rPr>
          <w:sz w:val="20"/>
          <w:szCs w:val="20"/>
        </w:rPr>
        <w:t>Sandulli</w:t>
      </w:r>
      <w:r w:rsidR="0029513E" w:rsidRPr="005A5238">
        <w:rPr>
          <w:sz w:val="20"/>
          <w:szCs w:val="20"/>
        </w:rPr>
        <w:t>,</w:t>
      </w:r>
      <w:r w:rsidR="00C647E2" w:rsidRPr="005A5238">
        <w:rPr>
          <w:sz w:val="20"/>
          <w:szCs w:val="20"/>
        </w:rPr>
        <w:t xml:space="preserve"> 2023, al afirmar que “En síntesis, la relación entre el crecimiento de las VUT y el proceso de gentrificación que expulsa a los residentes de los centros urbanos españoles carece de respaldo en datos y literatura científica”, 6. Disponible en: </w:t>
      </w:r>
      <w:hyperlink r:id="rId18" w:history="1">
        <w:r w:rsidR="00C647E2" w:rsidRPr="005A5238">
          <w:rPr>
            <w:rStyle w:val="Hipervnculo"/>
            <w:sz w:val="20"/>
            <w:szCs w:val="20"/>
          </w:rPr>
          <w:t>https://www.democrata.es/wp-content/uploads/2024/04/Informe-Francesco-Sandulli-I-El-impacto-de-las-VUT-en-Espana.pdf</w:t>
        </w:r>
      </w:hyperlink>
      <w:r w:rsidR="00C647E2" w:rsidRPr="005A5238">
        <w:rPr>
          <w:sz w:val="20"/>
          <w:szCs w:val="20"/>
        </w:rPr>
        <w:t xml:space="preserve"> (consultado 10-1-2025).</w:t>
      </w:r>
    </w:p>
  </w:footnote>
  <w:footnote w:id="35">
    <w:p w14:paraId="74F516F6" w14:textId="3713B2D9" w:rsidR="0080110E" w:rsidRPr="005A5238" w:rsidRDefault="0080110E" w:rsidP="00414A69">
      <w:pPr>
        <w:pStyle w:val="Textonotapie"/>
        <w:jc w:val="both"/>
        <w:rPr>
          <w:sz w:val="20"/>
          <w:szCs w:val="20"/>
        </w:rPr>
      </w:pPr>
      <w:r w:rsidRPr="005A5238">
        <w:rPr>
          <w:rStyle w:val="Refdenotaalpie"/>
          <w:sz w:val="20"/>
          <w:szCs w:val="20"/>
        </w:rPr>
        <w:footnoteRef/>
      </w:r>
      <w:r w:rsidRPr="005A5238">
        <w:rPr>
          <w:sz w:val="20"/>
          <w:szCs w:val="20"/>
        </w:rPr>
        <w:t xml:space="preserve"> Ver Real Decreto 1312/2024, de 23 de diciembre, por el que se regula el procedimiento de Registro Único de Arrendamientos y se crea la Ventanilla Única Digital de Arrendamientos para la recogida y el intercambio de datos relativos a los servicios de alquiler de alojamientos de corta duración (BOE núm. 309, 24.12.2014).</w:t>
      </w:r>
    </w:p>
  </w:footnote>
  <w:footnote w:id="36">
    <w:p w14:paraId="38AF0776" w14:textId="47C4088A" w:rsidR="00507F08" w:rsidRPr="005A5238" w:rsidRDefault="00507F08" w:rsidP="00414A69">
      <w:pPr>
        <w:pStyle w:val="Textonotapie"/>
        <w:jc w:val="both"/>
        <w:rPr>
          <w:sz w:val="20"/>
          <w:szCs w:val="20"/>
        </w:rPr>
      </w:pPr>
      <w:r w:rsidRPr="005A5238">
        <w:rPr>
          <w:rStyle w:val="Refdenotaalpie"/>
          <w:rFonts w:eastAsiaTheme="majorEastAsia"/>
          <w:sz w:val="20"/>
          <w:szCs w:val="20"/>
        </w:rPr>
        <w:footnoteRef/>
      </w:r>
      <w:r w:rsidRPr="005A5238">
        <w:rPr>
          <w:sz w:val="20"/>
          <w:szCs w:val="20"/>
        </w:rPr>
        <w:t xml:space="preserve"> Elaborado por la Fundación Mutua de Propietarios en colaboración con la Cátedra UNESCO de Vivienda.</w:t>
      </w:r>
      <w:r w:rsidR="007544B0" w:rsidRPr="005A5238">
        <w:rPr>
          <w:sz w:val="20"/>
          <w:szCs w:val="20"/>
        </w:rPr>
        <w:t xml:space="preserve"> Más información en </w:t>
      </w:r>
      <w:hyperlink r:id="rId19" w:history="1">
        <w:r w:rsidR="007544B0" w:rsidRPr="005A5238">
          <w:rPr>
            <w:rStyle w:val="Hipervnculo"/>
            <w:sz w:val="20"/>
            <w:szCs w:val="20"/>
          </w:rPr>
          <w:t>https://www.fundacionmdp.org</w:t>
        </w:r>
      </w:hyperlink>
      <w:r w:rsidR="007544B0" w:rsidRPr="005A5238">
        <w:rPr>
          <w:sz w:val="20"/>
          <w:szCs w:val="20"/>
        </w:rPr>
        <w:t>.</w:t>
      </w:r>
    </w:p>
  </w:footnote>
  <w:footnote w:id="37">
    <w:p w14:paraId="42BDD2BA" w14:textId="612D077E" w:rsidR="004A6AB6" w:rsidRPr="005A5238" w:rsidRDefault="004A6AB6"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Lo que</w:t>
      </w:r>
      <w:r w:rsidRPr="005A5238">
        <w:rPr>
          <w:sz w:val="20"/>
          <w:szCs w:val="20"/>
        </w:rPr>
        <w:t xml:space="preserve"> </w:t>
      </w:r>
      <w:r w:rsidR="00C647E2" w:rsidRPr="005A5238">
        <w:rPr>
          <w:sz w:val="20"/>
          <w:szCs w:val="20"/>
        </w:rPr>
        <w:t>propone</w:t>
      </w:r>
      <w:r w:rsidRPr="005A5238">
        <w:rPr>
          <w:sz w:val="20"/>
          <w:szCs w:val="20"/>
        </w:rPr>
        <w:t xml:space="preserve"> </w:t>
      </w:r>
      <w:r w:rsidR="00177459" w:rsidRPr="005A5238">
        <w:rPr>
          <w:sz w:val="20"/>
          <w:szCs w:val="20"/>
        </w:rPr>
        <w:t>Trilla</w:t>
      </w:r>
      <w:r w:rsidRPr="005A5238">
        <w:rPr>
          <w:sz w:val="20"/>
          <w:szCs w:val="20"/>
        </w:rPr>
        <w:t xml:space="preserve">, </w:t>
      </w:r>
      <w:r w:rsidR="00177459" w:rsidRPr="005A5238">
        <w:rPr>
          <w:sz w:val="20"/>
          <w:szCs w:val="20"/>
        </w:rPr>
        <w:t>2023</w:t>
      </w:r>
      <w:r w:rsidRPr="005A5238">
        <w:rPr>
          <w:sz w:val="20"/>
          <w:szCs w:val="20"/>
        </w:rPr>
        <w:t>.</w:t>
      </w:r>
    </w:p>
  </w:footnote>
  <w:footnote w:id="38">
    <w:p w14:paraId="6CD86DFD" w14:textId="79CB61A3" w:rsidR="00DF1EDE" w:rsidRPr="005A5238" w:rsidRDefault="00DF1EDE" w:rsidP="00414A69">
      <w:pPr>
        <w:pStyle w:val="Textonotapie"/>
        <w:jc w:val="both"/>
        <w:rPr>
          <w:sz w:val="20"/>
          <w:szCs w:val="20"/>
        </w:rPr>
      </w:pPr>
      <w:r w:rsidRPr="005A5238">
        <w:rPr>
          <w:rStyle w:val="Refdenotaalpie"/>
          <w:sz w:val="20"/>
          <w:szCs w:val="20"/>
        </w:rPr>
        <w:footnoteRef/>
      </w:r>
      <w:r w:rsidRPr="005A5238">
        <w:rPr>
          <w:sz w:val="20"/>
          <w:szCs w:val="20"/>
        </w:rPr>
        <w:t xml:space="preserve"> Ver sobre ello </w:t>
      </w:r>
      <w:r w:rsidR="00085041" w:rsidRPr="005A5238">
        <w:rPr>
          <w:sz w:val="20"/>
          <w:szCs w:val="20"/>
        </w:rPr>
        <w:t xml:space="preserve">Lambea Llop, </w:t>
      </w:r>
      <w:r w:rsidR="00C647E2" w:rsidRPr="005A5238">
        <w:rPr>
          <w:sz w:val="20"/>
          <w:szCs w:val="20"/>
        </w:rPr>
        <w:t>2022.</w:t>
      </w:r>
    </w:p>
  </w:footnote>
  <w:footnote w:id="39">
    <w:p w14:paraId="054674D5" w14:textId="77777777" w:rsidR="00394686" w:rsidRPr="005A5238" w:rsidRDefault="00394686" w:rsidP="00414A69">
      <w:pPr>
        <w:pStyle w:val="Textonotapie"/>
        <w:widowControl w:val="0"/>
        <w:jc w:val="both"/>
        <w:rPr>
          <w:sz w:val="20"/>
          <w:szCs w:val="20"/>
        </w:rPr>
      </w:pPr>
      <w:r w:rsidRPr="005A5238">
        <w:rPr>
          <w:rStyle w:val="Refdenotaalpie"/>
          <w:rFonts w:eastAsiaTheme="majorEastAsia"/>
          <w:sz w:val="20"/>
          <w:szCs w:val="20"/>
        </w:rPr>
        <w:footnoteRef/>
      </w:r>
      <w:r w:rsidRPr="005A5238">
        <w:rPr>
          <w:sz w:val="20"/>
          <w:szCs w:val="20"/>
        </w:rPr>
        <w:t xml:space="preserve"> Para. 36</w:t>
      </w:r>
      <w:r w:rsidRPr="005A5238">
        <w:rPr>
          <w:color w:val="000000" w:themeColor="text1"/>
          <w:sz w:val="20"/>
          <w:szCs w:val="20"/>
        </w:rPr>
        <w:t>.</w:t>
      </w:r>
    </w:p>
  </w:footnote>
  <w:footnote w:id="40">
    <w:p w14:paraId="1F813FE7" w14:textId="2D8E20E0" w:rsidR="00665367" w:rsidRPr="005A5238" w:rsidRDefault="00665367"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Ley </w:t>
      </w:r>
      <w:r w:rsidR="00534BC7" w:rsidRPr="005A5238">
        <w:rPr>
          <w:sz w:val="20"/>
          <w:szCs w:val="20"/>
        </w:rPr>
        <w:t xml:space="preserve">catalana </w:t>
      </w:r>
      <w:r w:rsidR="00C647E2" w:rsidRPr="005A5238">
        <w:rPr>
          <w:sz w:val="20"/>
          <w:szCs w:val="20"/>
        </w:rPr>
        <w:t>19/2015, de 29 de julio, de incorporación de la propiedad temporal y de la propiedad compartida en el libro quinto del Código civil de Cataluña (</w:t>
      </w:r>
      <w:r w:rsidR="0080110E" w:rsidRPr="005A5238">
        <w:rPr>
          <w:sz w:val="20"/>
          <w:szCs w:val="20"/>
        </w:rPr>
        <w:t>Diario Oficial de la Generalitat de Cataluña -</w:t>
      </w:r>
      <w:r w:rsidR="00C647E2" w:rsidRPr="005A5238">
        <w:rPr>
          <w:sz w:val="20"/>
          <w:szCs w:val="20"/>
        </w:rPr>
        <w:t>DOGC núm. 6927, 4.8.2015).</w:t>
      </w:r>
    </w:p>
  </w:footnote>
  <w:footnote w:id="41">
    <w:p w14:paraId="7D133C7D" w14:textId="5F848DB7" w:rsidR="00FE4829" w:rsidRPr="005A5238" w:rsidRDefault="00FE4829">
      <w:pPr>
        <w:pStyle w:val="Textonotapie"/>
        <w:rPr>
          <w:sz w:val="20"/>
          <w:szCs w:val="20"/>
        </w:rPr>
      </w:pPr>
      <w:r w:rsidRPr="005A5238">
        <w:rPr>
          <w:rStyle w:val="Refdenotaalpie"/>
          <w:sz w:val="20"/>
          <w:szCs w:val="20"/>
        </w:rPr>
        <w:footnoteRef/>
      </w:r>
      <w:r w:rsidRPr="005A5238">
        <w:rPr>
          <w:sz w:val="20"/>
          <w:szCs w:val="20"/>
        </w:rPr>
        <w:t xml:space="preserve"> Mas información en: </w:t>
      </w:r>
      <w:hyperlink r:id="rId20" w:history="1">
        <w:r w:rsidRPr="005A5238">
          <w:rPr>
            <w:rStyle w:val="Hipervnculo"/>
            <w:sz w:val="20"/>
            <w:szCs w:val="20"/>
          </w:rPr>
          <w:t>https://publications.parliament.uk/pa/cm5804/cmselect/cmcomloc/61/report.html</w:t>
        </w:r>
      </w:hyperlink>
      <w:r w:rsidRPr="005A5238">
        <w:rPr>
          <w:sz w:val="20"/>
          <w:szCs w:val="20"/>
        </w:rPr>
        <w:t xml:space="preserve"> (consultado 15-3-2025).</w:t>
      </w:r>
    </w:p>
  </w:footnote>
  <w:footnote w:id="42">
    <w:p w14:paraId="4AA33D5C" w14:textId="57763A60" w:rsidR="003B3B79" w:rsidRPr="005A5238" w:rsidRDefault="003B3B79" w:rsidP="00414A69">
      <w:pPr>
        <w:pStyle w:val="Textonotapie"/>
        <w:widowControl w:val="0"/>
        <w:jc w:val="both"/>
        <w:rPr>
          <w:sz w:val="20"/>
          <w:szCs w:val="20"/>
        </w:rPr>
      </w:pPr>
      <w:r w:rsidRPr="005A5238">
        <w:rPr>
          <w:rStyle w:val="Refdenotaalpie"/>
          <w:rFonts w:eastAsiaTheme="majorEastAsia"/>
          <w:sz w:val="20"/>
          <w:szCs w:val="20"/>
        </w:rPr>
        <w:footnoteRef/>
      </w:r>
      <w:r w:rsidRPr="005A5238">
        <w:rPr>
          <w:sz w:val="20"/>
          <w:szCs w:val="20"/>
        </w:rPr>
        <w:t xml:space="preserve"> </w:t>
      </w:r>
      <w:r w:rsidRPr="005A5238">
        <w:rPr>
          <w:rStyle w:val="longtext"/>
          <w:sz w:val="20"/>
          <w:szCs w:val="20"/>
        </w:rPr>
        <w:t xml:space="preserve">Solution 46, 112. Disponible </w:t>
      </w:r>
      <w:r w:rsidR="0032760E" w:rsidRPr="005A5238">
        <w:rPr>
          <w:rStyle w:val="longtext"/>
          <w:sz w:val="20"/>
          <w:szCs w:val="20"/>
        </w:rPr>
        <w:t>en</w:t>
      </w:r>
      <w:r w:rsidRPr="005A5238">
        <w:rPr>
          <w:rStyle w:val="longtext"/>
          <w:sz w:val="20"/>
          <w:szCs w:val="20"/>
        </w:rPr>
        <w:t xml:space="preserve">: </w:t>
      </w:r>
      <w:hyperlink r:id="rId21" w:history="1">
        <w:r w:rsidRPr="005A5238">
          <w:rPr>
            <w:rStyle w:val="Hipervnculo"/>
            <w:rFonts w:eastAsiaTheme="majorEastAsia"/>
            <w:sz w:val="20"/>
            <w:szCs w:val="20"/>
          </w:rPr>
          <w:t>https://www.feantsa.org/en/news/2019/12/11/hsp-publication-50-housing-solutions?bcParent=27</w:t>
        </w:r>
      </w:hyperlink>
      <w:r w:rsidRPr="005A5238">
        <w:rPr>
          <w:rStyle w:val="longtext"/>
          <w:sz w:val="20"/>
          <w:szCs w:val="20"/>
        </w:rPr>
        <w:t xml:space="preserve"> </w:t>
      </w:r>
      <w:r w:rsidRPr="005A5238">
        <w:rPr>
          <w:sz w:val="20"/>
          <w:szCs w:val="20"/>
        </w:rPr>
        <w:t>(</w:t>
      </w:r>
      <w:r w:rsidR="00C647E2" w:rsidRPr="005A5238">
        <w:rPr>
          <w:sz w:val="20"/>
          <w:szCs w:val="20"/>
        </w:rPr>
        <w:t>consultado 10-1-2025</w:t>
      </w:r>
      <w:r w:rsidRPr="005A5238">
        <w:rPr>
          <w:sz w:val="20"/>
          <w:szCs w:val="20"/>
        </w:rPr>
        <w:t>).</w:t>
      </w:r>
    </w:p>
  </w:footnote>
  <w:footnote w:id="43">
    <w:p w14:paraId="7375BF4C" w14:textId="7D94FF60" w:rsidR="003B3B79" w:rsidRPr="005A5238" w:rsidRDefault="003B3B79" w:rsidP="00414A69">
      <w:pPr>
        <w:pStyle w:val="Textonotapie"/>
        <w:jc w:val="both"/>
        <w:rPr>
          <w:sz w:val="20"/>
          <w:szCs w:val="20"/>
          <w:lang w:val="en-US"/>
        </w:rPr>
      </w:pPr>
      <w:r w:rsidRPr="005A5238">
        <w:rPr>
          <w:rStyle w:val="Refdenotaalpie"/>
          <w:rFonts w:eastAsiaTheme="majorEastAsia"/>
          <w:sz w:val="20"/>
          <w:szCs w:val="20"/>
        </w:rPr>
        <w:footnoteRef/>
      </w:r>
      <w:r w:rsidRPr="005A5238">
        <w:rPr>
          <w:sz w:val="20"/>
          <w:szCs w:val="20"/>
          <w:lang w:val="en-US"/>
        </w:rPr>
        <w:t xml:space="preserve"> </w:t>
      </w:r>
      <w:r w:rsidR="00C647E2" w:rsidRPr="005A5238">
        <w:rPr>
          <w:sz w:val="20"/>
          <w:szCs w:val="20"/>
          <w:lang w:val="en-US"/>
        </w:rPr>
        <w:t>Ver</w:t>
      </w:r>
      <w:r w:rsidRPr="005A5238">
        <w:rPr>
          <w:sz w:val="20"/>
          <w:szCs w:val="20"/>
          <w:lang w:val="en-US"/>
        </w:rPr>
        <w:t xml:space="preserve"> </w:t>
      </w:r>
      <w:r w:rsidR="00034CC5" w:rsidRPr="005A5238">
        <w:rPr>
          <w:sz w:val="20"/>
          <w:szCs w:val="20"/>
          <w:lang w:val="en-US"/>
        </w:rPr>
        <w:t>Nasarre Aznar</w:t>
      </w:r>
      <w:r w:rsidR="00A31F38" w:rsidRPr="005A5238">
        <w:rPr>
          <w:sz w:val="20"/>
          <w:szCs w:val="20"/>
          <w:lang w:val="en-US"/>
        </w:rPr>
        <w:t xml:space="preserve">, </w:t>
      </w:r>
      <w:r w:rsidRPr="005A5238">
        <w:rPr>
          <w:sz w:val="20"/>
          <w:szCs w:val="20"/>
          <w:lang w:val="en-US"/>
        </w:rPr>
        <w:t xml:space="preserve">2021, p. 34 (Spain), p. 52 (UK) </w:t>
      </w:r>
      <w:r w:rsidR="0032760E" w:rsidRPr="005A5238">
        <w:rPr>
          <w:sz w:val="20"/>
          <w:szCs w:val="20"/>
          <w:lang w:val="en-US"/>
        </w:rPr>
        <w:t>y</w:t>
      </w:r>
      <w:r w:rsidRPr="005A5238">
        <w:rPr>
          <w:sz w:val="20"/>
          <w:szCs w:val="20"/>
          <w:lang w:val="en-US"/>
        </w:rPr>
        <w:t xml:space="preserve"> p. 78 (the Netherlands).</w:t>
      </w:r>
    </w:p>
  </w:footnote>
  <w:footnote w:id="44">
    <w:p w14:paraId="6F91A806" w14:textId="42DD5DCB" w:rsidR="005C5279" w:rsidRPr="005A5238" w:rsidRDefault="005C5279"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Decreto ley</w:t>
      </w:r>
      <w:r w:rsidR="00534BC7" w:rsidRPr="005A5238">
        <w:rPr>
          <w:sz w:val="20"/>
          <w:szCs w:val="20"/>
        </w:rPr>
        <w:t xml:space="preserve"> catalán</w:t>
      </w:r>
      <w:r w:rsidR="00C647E2" w:rsidRPr="005A5238">
        <w:rPr>
          <w:sz w:val="20"/>
          <w:szCs w:val="20"/>
        </w:rPr>
        <w:t xml:space="preserve"> 1/2015, de 24 de marzo, de medidas extraordinarias y urgentes para la movilización de las viviendas provenientes de procesos de ejecución hipotecaria (DOGC núm. 6839, 24.3.2015).</w:t>
      </w:r>
    </w:p>
  </w:footnote>
  <w:footnote w:id="45">
    <w:p w14:paraId="0C782F66" w14:textId="0BF0E258" w:rsidR="00E0231F" w:rsidRPr="005A5238" w:rsidRDefault="00E0231F" w:rsidP="00414A69">
      <w:pPr>
        <w:pStyle w:val="Textonotapie"/>
        <w:jc w:val="both"/>
        <w:rPr>
          <w:sz w:val="20"/>
          <w:szCs w:val="20"/>
          <w:lang w:val="en-US"/>
        </w:rPr>
      </w:pPr>
      <w:r w:rsidRPr="005A5238">
        <w:rPr>
          <w:rStyle w:val="Refdenotaalpie"/>
          <w:sz w:val="20"/>
          <w:szCs w:val="20"/>
        </w:rPr>
        <w:footnoteRef/>
      </w:r>
      <w:r w:rsidRPr="005A5238">
        <w:rPr>
          <w:sz w:val="20"/>
          <w:szCs w:val="20"/>
          <w:lang w:val="en-US"/>
        </w:rPr>
        <w:t xml:space="preserve"> </w:t>
      </w:r>
      <w:r w:rsidR="00066D63" w:rsidRPr="005A5238">
        <w:rPr>
          <w:sz w:val="20"/>
          <w:szCs w:val="20"/>
          <w:lang w:val="en-US"/>
        </w:rPr>
        <w:t>“</w:t>
      </w:r>
      <w:r w:rsidRPr="005A5238">
        <w:rPr>
          <w:sz w:val="20"/>
          <w:szCs w:val="20"/>
          <w:lang w:val="en-US"/>
        </w:rPr>
        <w:t>The local government of Vienna uses the offices and offers of its own funds to provide subsidized housing. It is mainly focused on allocating central</w:t>
      </w:r>
      <w:r w:rsidR="00066D63" w:rsidRPr="005A5238">
        <w:rPr>
          <w:sz w:val="20"/>
          <w:szCs w:val="20"/>
          <w:lang w:val="en-US"/>
        </w:rPr>
        <w:t xml:space="preserve"> </w:t>
      </w:r>
      <w:r w:rsidRPr="005A5238">
        <w:rPr>
          <w:sz w:val="20"/>
          <w:szCs w:val="20"/>
          <w:lang w:val="en-US"/>
        </w:rPr>
        <w:t>government funding, thus transforming housing policies into a “</w:t>
      </w:r>
      <w:r w:rsidRPr="005A5238">
        <w:rPr>
          <w:sz w:val="20"/>
          <w:szCs w:val="20"/>
          <w:lang w:val="en-US"/>
        </w:rPr>
        <w:t>Zweisungsmaschine”, trading housing for provision for political support”</w:t>
      </w:r>
      <w:r w:rsidR="00066D63" w:rsidRPr="005A5238">
        <w:rPr>
          <w:sz w:val="20"/>
          <w:szCs w:val="20"/>
          <w:lang w:val="en-US"/>
        </w:rPr>
        <w:t xml:space="preserve">, </w:t>
      </w:r>
      <w:r w:rsidR="00C647E2" w:rsidRPr="005A5238">
        <w:rPr>
          <w:sz w:val="20"/>
          <w:szCs w:val="20"/>
          <w:lang w:val="en-US"/>
        </w:rPr>
        <w:t>ver</w:t>
      </w:r>
      <w:r w:rsidR="004D7702" w:rsidRPr="005A5238">
        <w:rPr>
          <w:sz w:val="20"/>
          <w:szCs w:val="20"/>
          <w:lang w:val="en-US"/>
        </w:rPr>
        <w:t xml:space="preserve"> Novy, Redak</w:t>
      </w:r>
      <w:r w:rsidR="00BE1E71" w:rsidRPr="005A5238">
        <w:rPr>
          <w:sz w:val="20"/>
          <w:szCs w:val="20"/>
          <w:lang w:val="en-US"/>
        </w:rPr>
        <w:t xml:space="preserve"> y </w:t>
      </w:r>
      <w:r w:rsidR="004D7702" w:rsidRPr="005A5238">
        <w:rPr>
          <w:sz w:val="20"/>
          <w:szCs w:val="20"/>
          <w:lang w:val="en-US"/>
        </w:rPr>
        <w:t>Hamedinger, 2001.</w:t>
      </w:r>
    </w:p>
  </w:footnote>
  <w:footnote w:id="46">
    <w:p w14:paraId="0D43EBD4" w14:textId="04420972" w:rsidR="004054F1" w:rsidRPr="005A5238" w:rsidRDefault="004054F1"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El Plan territorial sectorial de vivienda de Cataluña 2024 quiere incrementar el parque de viviendas de alquiler social hasta el 9% del parque de viviendas principales de Cataluña, por </w:t>
      </w:r>
      <w:r w:rsidR="00C647E2" w:rsidRPr="005A5238">
        <w:rPr>
          <w:sz w:val="20"/>
          <w:szCs w:val="20"/>
        </w:rPr>
        <w:t>tanto sin tener en cuenta el acceso a un vivienda en propiedad.</w:t>
      </w:r>
    </w:p>
  </w:footnote>
  <w:footnote w:id="47">
    <w:p w14:paraId="7E6A9CAD" w14:textId="14FB7CB0" w:rsidR="006E1FAF" w:rsidRPr="005A5238" w:rsidRDefault="006E1FAF"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1D2099" w:rsidRPr="005A5238">
        <w:rPr>
          <w:sz w:val="20"/>
          <w:szCs w:val="20"/>
        </w:rPr>
        <w:t>Bosch y Trilla</w:t>
      </w:r>
      <w:r w:rsidR="0092631A" w:rsidRPr="005A5238">
        <w:rPr>
          <w:sz w:val="20"/>
          <w:szCs w:val="20"/>
        </w:rPr>
        <w:t>, 2019.</w:t>
      </w:r>
    </w:p>
  </w:footnote>
  <w:footnote w:id="48">
    <w:p w14:paraId="0220FA1A" w14:textId="5DF631A8" w:rsidR="00226F68" w:rsidRPr="005A5238" w:rsidRDefault="00226F68"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Ver</w:t>
      </w:r>
      <w:r w:rsidRPr="005A5238">
        <w:rPr>
          <w:sz w:val="20"/>
          <w:szCs w:val="20"/>
        </w:rPr>
        <w:t xml:space="preserve"> l</w:t>
      </w:r>
      <w:r w:rsidR="00C647E2" w:rsidRPr="005A5238">
        <w:rPr>
          <w:sz w:val="20"/>
          <w:szCs w:val="20"/>
        </w:rPr>
        <w:t>a</w:t>
      </w:r>
      <w:r w:rsidRPr="005A5238">
        <w:rPr>
          <w:sz w:val="20"/>
          <w:szCs w:val="20"/>
        </w:rPr>
        <w:t>s reflexion</w:t>
      </w:r>
      <w:r w:rsidR="00C647E2" w:rsidRPr="005A5238">
        <w:rPr>
          <w:sz w:val="20"/>
          <w:szCs w:val="20"/>
        </w:rPr>
        <w:t>e</w:t>
      </w:r>
      <w:r w:rsidRPr="005A5238">
        <w:rPr>
          <w:sz w:val="20"/>
          <w:szCs w:val="20"/>
        </w:rPr>
        <w:t xml:space="preserve">s de </w:t>
      </w:r>
      <w:r w:rsidR="005A0110" w:rsidRPr="005A5238">
        <w:rPr>
          <w:sz w:val="20"/>
          <w:szCs w:val="20"/>
        </w:rPr>
        <w:t>Nasarre Aznar</w:t>
      </w:r>
      <w:r w:rsidRPr="005A5238">
        <w:rPr>
          <w:sz w:val="20"/>
          <w:szCs w:val="20"/>
        </w:rPr>
        <w:t>,</w:t>
      </w:r>
      <w:r w:rsidR="00EC3544" w:rsidRPr="005A5238">
        <w:rPr>
          <w:sz w:val="20"/>
          <w:szCs w:val="20"/>
        </w:rPr>
        <w:t xml:space="preserve"> 2023.</w:t>
      </w:r>
    </w:p>
  </w:footnote>
  <w:footnote w:id="49">
    <w:p w14:paraId="2A5C8A80" w14:textId="15E64A37" w:rsidR="00B25320" w:rsidRPr="005A5238" w:rsidRDefault="00B25320"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Un estudio del 2008 ya puso de manifiesto que el modelo de estado del bienestar está menos consolidado en España y Cataluña</w:t>
      </w:r>
      <w:r w:rsidR="00BB5024" w:rsidRPr="005A5238">
        <w:rPr>
          <w:sz w:val="20"/>
          <w:szCs w:val="20"/>
        </w:rPr>
        <w:t xml:space="preserve">, </w:t>
      </w:r>
      <w:r w:rsidR="00C647E2" w:rsidRPr="005A5238">
        <w:rPr>
          <w:sz w:val="20"/>
          <w:szCs w:val="20"/>
        </w:rPr>
        <w:t>ver</w:t>
      </w:r>
      <w:r w:rsidR="00BB5024" w:rsidRPr="005A5238">
        <w:rPr>
          <w:sz w:val="20"/>
          <w:szCs w:val="20"/>
        </w:rPr>
        <w:t xml:space="preserve"> </w:t>
      </w:r>
      <w:r w:rsidR="00FC4DF1" w:rsidRPr="005A5238">
        <w:rPr>
          <w:sz w:val="20"/>
          <w:szCs w:val="20"/>
        </w:rPr>
        <w:t xml:space="preserve">Idoate </w:t>
      </w:r>
      <w:r w:rsidR="0032760E" w:rsidRPr="005A5238">
        <w:rPr>
          <w:sz w:val="20"/>
          <w:szCs w:val="20"/>
        </w:rPr>
        <w:t>y</w:t>
      </w:r>
      <w:r w:rsidR="00BB5024" w:rsidRPr="005A5238">
        <w:rPr>
          <w:sz w:val="20"/>
          <w:szCs w:val="20"/>
        </w:rPr>
        <w:t xml:space="preserve"> </w:t>
      </w:r>
      <w:r w:rsidR="00FC4DF1" w:rsidRPr="005A5238">
        <w:rPr>
          <w:sz w:val="20"/>
          <w:szCs w:val="20"/>
        </w:rPr>
        <w:t xml:space="preserve">Molina, </w:t>
      </w:r>
      <w:r w:rsidR="00BB5024" w:rsidRPr="005A5238">
        <w:rPr>
          <w:sz w:val="20"/>
          <w:szCs w:val="20"/>
        </w:rPr>
        <w:t xml:space="preserve">2008. </w:t>
      </w:r>
      <w:r w:rsidR="0032760E" w:rsidRPr="005A5238">
        <w:rPr>
          <w:sz w:val="20"/>
          <w:szCs w:val="20"/>
        </w:rPr>
        <w:t>Un análisis más reciente poniendo de manifiesto sus carencias</w:t>
      </w:r>
      <w:r w:rsidR="00070C41" w:rsidRPr="005A5238">
        <w:rPr>
          <w:sz w:val="20"/>
          <w:szCs w:val="20"/>
        </w:rPr>
        <w:t xml:space="preserve">, </w:t>
      </w:r>
      <w:r w:rsidR="00FC4DF1" w:rsidRPr="005A5238">
        <w:rPr>
          <w:sz w:val="20"/>
          <w:szCs w:val="20"/>
        </w:rPr>
        <w:t>Calero</w:t>
      </w:r>
      <w:r w:rsidR="00EC749F" w:rsidRPr="005A5238">
        <w:rPr>
          <w:sz w:val="20"/>
          <w:szCs w:val="20"/>
        </w:rPr>
        <w:t xml:space="preserve">, </w:t>
      </w:r>
      <w:r w:rsidR="00633B02" w:rsidRPr="005A5238">
        <w:rPr>
          <w:sz w:val="20"/>
          <w:szCs w:val="20"/>
        </w:rPr>
        <w:t>2021</w:t>
      </w:r>
      <w:r w:rsidR="004478B1" w:rsidRPr="005A5238">
        <w:rPr>
          <w:sz w:val="20"/>
          <w:szCs w:val="20"/>
        </w:rPr>
        <w:t>).</w:t>
      </w:r>
    </w:p>
  </w:footnote>
  <w:footnote w:id="50">
    <w:p w14:paraId="0896C56C" w14:textId="7B573B11" w:rsidR="005E1D83" w:rsidRPr="005A5238" w:rsidRDefault="005E1D83"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BE2B38" w:rsidRPr="005A5238">
        <w:rPr>
          <w:sz w:val="20"/>
          <w:szCs w:val="20"/>
        </w:rPr>
        <w:t xml:space="preserve">Euroval, </w:t>
      </w:r>
      <w:r w:rsidR="00BE2B38" w:rsidRPr="005A5238">
        <w:rPr>
          <w:i/>
          <w:iCs/>
          <w:sz w:val="20"/>
          <w:szCs w:val="20"/>
        </w:rPr>
        <w:t>El peso de la vivienda en la distribución de la riqueza en los hogares españoles</w:t>
      </w:r>
      <w:r w:rsidR="00BE2B38" w:rsidRPr="005A5238">
        <w:rPr>
          <w:sz w:val="20"/>
          <w:szCs w:val="20"/>
        </w:rPr>
        <w:t xml:space="preserve">, 2023. Ver </w:t>
      </w:r>
      <w:hyperlink r:id="rId22" w:history="1">
        <w:r w:rsidR="00BE2B38" w:rsidRPr="005A5238">
          <w:rPr>
            <w:rStyle w:val="Hipervnculo"/>
            <w:sz w:val="20"/>
            <w:szCs w:val="20"/>
          </w:rPr>
          <w:t>https://euroval.com/octubre-2023-el-peso-de-la-vivienda-en-la-distribucion-de-la-riqueza-en-los-hogares-espanoles/</w:t>
        </w:r>
      </w:hyperlink>
      <w:r w:rsidR="00BE2B38" w:rsidRPr="005A5238">
        <w:rPr>
          <w:sz w:val="20"/>
          <w:szCs w:val="20"/>
        </w:rPr>
        <w:t xml:space="preserve"> (</w:t>
      </w:r>
      <w:r w:rsidR="00C647E2" w:rsidRPr="005A5238">
        <w:rPr>
          <w:sz w:val="20"/>
          <w:szCs w:val="20"/>
        </w:rPr>
        <w:t>consultado 10-1-2025</w:t>
      </w:r>
      <w:r w:rsidR="00BE2B38" w:rsidRPr="005A5238">
        <w:rPr>
          <w:sz w:val="20"/>
          <w:szCs w:val="20"/>
        </w:rPr>
        <w:t>).</w:t>
      </w:r>
    </w:p>
  </w:footnote>
  <w:footnote w:id="51">
    <w:p w14:paraId="3F6D631C" w14:textId="6A1B14CE" w:rsidR="009731FF" w:rsidRPr="005A5238" w:rsidRDefault="009731FF"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Pr="005A5238">
        <w:rPr>
          <w:sz w:val="20"/>
          <w:szCs w:val="20"/>
          <w:lang w:eastAsia="es-ES_tradnl"/>
        </w:rPr>
        <w:t>Banc</w:t>
      </w:r>
      <w:r w:rsidR="00C647E2" w:rsidRPr="005A5238">
        <w:rPr>
          <w:sz w:val="20"/>
          <w:szCs w:val="20"/>
          <w:lang w:eastAsia="es-ES_tradnl"/>
        </w:rPr>
        <w:t>o</w:t>
      </w:r>
      <w:r w:rsidRPr="005A5238">
        <w:rPr>
          <w:sz w:val="20"/>
          <w:szCs w:val="20"/>
          <w:lang w:eastAsia="es-ES_tradnl"/>
        </w:rPr>
        <w:t xml:space="preserve"> Central Europe</w:t>
      </w:r>
      <w:r w:rsidR="00C647E2" w:rsidRPr="005A5238">
        <w:rPr>
          <w:sz w:val="20"/>
          <w:szCs w:val="20"/>
          <w:lang w:eastAsia="es-ES_tradnl"/>
        </w:rPr>
        <w:t>o</w:t>
      </w:r>
      <w:r w:rsidRPr="005A5238">
        <w:rPr>
          <w:sz w:val="20"/>
          <w:szCs w:val="20"/>
          <w:lang w:eastAsia="es-ES_tradnl"/>
        </w:rPr>
        <w:t xml:space="preserve">, </w:t>
      </w:r>
      <w:r w:rsidR="0049275E" w:rsidRPr="005A5238">
        <w:rPr>
          <w:i/>
          <w:iCs/>
          <w:sz w:val="20"/>
          <w:szCs w:val="20"/>
          <w:lang w:eastAsia="es-ES_tradnl"/>
        </w:rPr>
        <w:t>Índice de distribución de la riqueza</w:t>
      </w:r>
      <w:r w:rsidRPr="005A5238">
        <w:rPr>
          <w:sz w:val="20"/>
          <w:szCs w:val="20"/>
          <w:lang w:eastAsia="es-ES_tradnl"/>
        </w:rPr>
        <w:t>, 2024.</w:t>
      </w:r>
      <w:r w:rsidR="00185A22" w:rsidRPr="005A5238">
        <w:rPr>
          <w:sz w:val="20"/>
          <w:szCs w:val="20"/>
          <w:lang w:eastAsia="es-ES_tradnl"/>
        </w:rPr>
        <w:t xml:space="preserve"> </w:t>
      </w:r>
      <w:r w:rsidR="00C647E2" w:rsidRPr="005A5238">
        <w:rPr>
          <w:sz w:val="20"/>
          <w:szCs w:val="20"/>
          <w:lang w:eastAsia="es-ES_tradnl"/>
        </w:rPr>
        <w:t>Ver</w:t>
      </w:r>
      <w:r w:rsidR="00185A22" w:rsidRPr="005A5238">
        <w:rPr>
          <w:sz w:val="20"/>
          <w:szCs w:val="20"/>
          <w:lang w:eastAsia="es-ES_tradnl"/>
        </w:rPr>
        <w:t xml:space="preserve"> </w:t>
      </w:r>
      <w:hyperlink r:id="rId23" w:history="1">
        <w:r w:rsidR="00185A22" w:rsidRPr="005A5238">
          <w:rPr>
            <w:rStyle w:val="Hipervnculo"/>
            <w:sz w:val="20"/>
            <w:szCs w:val="20"/>
            <w:lang w:eastAsia="es-ES_tradnl"/>
          </w:rPr>
          <w:t>https://www.ecb.europa.eu/stats/html/index.es.html</w:t>
        </w:r>
      </w:hyperlink>
      <w:r w:rsidR="00185A22" w:rsidRPr="005A5238">
        <w:rPr>
          <w:sz w:val="20"/>
          <w:szCs w:val="20"/>
          <w:lang w:eastAsia="es-ES_tradnl"/>
        </w:rPr>
        <w:t xml:space="preserve"> </w:t>
      </w:r>
      <w:r w:rsidR="00185A22" w:rsidRPr="005A5238">
        <w:rPr>
          <w:sz w:val="20"/>
          <w:szCs w:val="20"/>
        </w:rPr>
        <w:t>(</w:t>
      </w:r>
      <w:r w:rsidR="00C647E2" w:rsidRPr="005A5238">
        <w:rPr>
          <w:sz w:val="20"/>
          <w:szCs w:val="20"/>
        </w:rPr>
        <w:t>consultado 10-1-2025</w:t>
      </w:r>
      <w:r w:rsidR="00185A22" w:rsidRPr="005A5238">
        <w:rPr>
          <w:sz w:val="20"/>
          <w:szCs w:val="20"/>
        </w:rPr>
        <w:t>).</w:t>
      </w:r>
    </w:p>
  </w:footnote>
  <w:footnote w:id="52">
    <w:p w14:paraId="30D8E47E" w14:textId="7ECBD5C0" w:rsidR="00E76633" w:rsidRPr="005A5238" w:rsidRDefault="00E76633"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B3E4E" w:rsidRPr="005A5238">
        <w:rPr>
          <w:sz w:val="20"/>
          <w:szCs w:val="20"/>
        </w:rPr>
        <w:t>Ley 29/1994, de 24 de noviembre, de arrendamientos urbanos (BOE núm. 282, 25.11.1994).</w:t>
      </w:r>
    </w:p>
  </w:footnote>
  <w:footnote w:id="53">
    <w:p w14:paraId="25F6F7B1" w14:textId="682A5838" w:rsidR="00973F78" w:rsidRPr="005A5238" w:rsidRDefault="00973F78"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B3E4E" w:rsidRPr="005A5238">
        <w:rPr>
          <w:sz w:val="20"/>
          <w:szCs w:val="20"/>
        </w:rPr>
        <w:t>Ver</w:t>
      </w:r>
      <w:r w:rsidR="00E1705D" w:rsidRPr="005A5238">
        <w:rPr>
          <w:sz w:val="20"/>
          <w:szCs w:val="20"/>
        </w:rPr>
        <w:t xml:space="preserve"> </w:t>
      </w:r>
      <w:r w:rsidR="00DB074E" w:rsidRPr="005A5238">
        <w:rPr>
          <w:sz w:val="20"/>
          <w:szCs w:val="20"/>
        </w:rPr>
        <w:t>Nasarre-Aznar</w:t>
      </w:r>
      <w:r w:rsidR="00BE2B38" w:rsidRPr="005A5238">
        <w:rPr>
          <w:sz w:val="20"/>
          <w:szCs w:val="20"/>
        </w:rPr>
        <w:t xml:space="preserve">, </w:t>
      </w:r>
      <w:r w:rsidR="00DB074E" w:rsidRPr="005A5238">
        <w:rPr>
          <w:sz w:val="20"/>
          <w:szCs w:val="20"/>
        </w:rPr>
        <w:t xml:space="preserve">Olinda </w:t>
      </w:r>
      <w:r w:rsidR="00DB074E" w:rsidRPr="005A5238">
        <w:rPr>
          <w:sz w:val="20"/>
          <w:szCs w:val="20"/>
        </w:rPr>
        <w:t>Garcia</w:t>
      </w:r>
      <w:r w:rsidR="00342B23" w:rsidRPr="005A5238">
        <w:rPr>
          <w:sz w:val="20"/>
          <w:szCs w:val="20"/>
        </w:rPr>
        <w:t xml:space="preserve"> y </w:t>
      </w:r>
      <w:r w:rsidR="00DB074E" w:rsidRPr="005A5238">
        <w:rPr>
          <w:sz w:val="20"/>
          <w:szCs w:val="20"/>
        </w:rPr>
        <w:t>Xerri</w:t>
      </w:r>
      <w:r w:rsidR="00BE2B38" w:rsidRPr="005A5238">
        <w:rPr>
          <w:sz w:val="20"/>
          <w:szCs w:val="20"/>
        </w:rPr>
        <w:t xml:space="preserve">, </w:t>
      </w:r>
      <w:r w:rsidR="00E1705D" w:rsidRPr="005A5238">
        <w:rPr>
          <w:sz w:val="20"/>
          <w:szCs w:val="20"/>
        </w:rPr>
        <w:t>2014,</w:t>
      </w:r>
      <w:r w:rsidR="00342B23" w:rsidRPr="005A5238">
        <w:rPr>
          <w:sz w:val="20"/>
          <w:szCs w:val="20"/>
        </w:rPr>
        <w:t xml:space="preserve"> </w:t>
      </w:r>
      <w:r w:rsidR="00E1705D" w:rsidRPr="005A5238">
        <w:rPr>
          <w:sz w:val="20"/>
          <w:szCs w:val="20"/>
        </w:rPr>
        <w:t>188-217.</w:t>
      </w:r>
    </w:p>
  </w:footnote>
  <w:footnote w:id="54">
    <w:p w14:paraId="4836550A" w14:textId="5FDBF038" w:rsidR="0045152E" w:rsidRPr="005A5238" w:rsidRDefault="0045152E" w:rsidP="00414A69">
      <w:pPr>
        <w:pStyle w:val="Textonotapie"/>
        <w:jc w:val="both"/>
        <w:rPr>
          <w:sz w:val="20"/>
          <w:szCs w:val="20"/>
        </w:rPr>
      </w:pPr>
      <w:r w:rsidRPr="005A5238">
        <w:rPr>
          <w:rStyle w:val="Refdenotaalpie"/>
          <w:sz w:val="20"/>
          <w:szCs w:val="20"/>
        </w:rPr>
        <w:footnoteRef/>
      </w:r>
      <w:r w:rsidRPr="005A5238">
        <w:rPr>
          <w:sz w:val="20"/>
          <w:szCs w:val="20"/>
        </w:rPr>
        <w:t xml:space="preserve"> Proposición de Ley relativa a la regulación de los contratos de alquiler de vivienda por temporada y alquiler de habitaciones (122/000119)</w:t>
      </w:r>
      <w:r w:rsidR="003A01D8" w:rsidRPr="005A5238">
        <w:rPr>
          <w:sz w:val="20"/>
          <w:szCs w:val="20"/>
        </w:rPr>
        <w:t xml:space="preserve">, </w:t>
      </w:r>
      <w:r w:rsidR="0032760E" w:rsidRPr="005A5238">
        <w:rPr>
          <w:sz w:val="20"/>
          <w:szCs w:val="20"/>
        </w:rPr>
        <w:t>rechazada en el Congreso</w:t>
      </w:r>
      <w:r w:rsidR="003A01D8" w:rsidRPr="005A5238">
        <w:rPr>
          <w:sz w:val="20"/>
          <w:szCs w:val="20"/>
        </w:rPr>
        <w:t xml:space="preserve"> </w:t>
      </w:r>
      <w:r w:rsidR="0032760E" w:rsidRPr="005A5238">
        <w:rPr>
          <w:sz w:val="20"/>
          <w:szCs w:val="20"/>
        </w:rPr>
        <w:t xml:space="preserve">de los Diputados </w:t>
      </w:r>
      <w:r w:rsidR="003A01D8" w:rsidRPr="005A5238">
        <w:rPr>
          <w:sz w:val="20"/>
          <w:szCs w:val="20"/>
        </w:rPr>
        <w:t>el 17-9-2024.</w:t>
      </w:r>
      <w:r w:rsidR="00EE4ABF" w:rsidRPr="005A5238">
        <w:rPr>
          <w:sz w:val="20"/>
          <w:szCs w:val="20"/>
        </w:rPr>
        <w:t xml:space="preserve"> </w:t>
      </w:r>
      <w:r w:rsidR="0032760E" w:rsidRPr="005A5238">
        <w:rPr>
          <w:sz w:val="20"/>
          <w:szCs w:val="20"/>
        </w:rPr>
        <w:t>En Cataluña tampoco salió adelante el</w:t>
      </w:r>
      <w:r w:rsidR="00EE4ABF" w:rsidRPr="005A5238">
        <w:rPr>
          <w:sz w:val="20"/>
          <w:szCs w:val="20"/>
        </w:rPr>
        <w:t xml:space="preserve"> </w:t>
      </w:r>
      <w:r w:rsidR="0032760E" w:rsidRPr="005A5238">
        <w:rPr>
          <w:sz w:val="20"/>
          <w:szCs w:val="20"/>
        </w:rPr>
        <w:t>Decreto ley 6/2024, de 24 de abril, de medidas urgentes en materia de vivienda (Núm. expediente 203-00045/13</w:t>
      </w:r>
      <w:r w:rsidR="009E371A" w:rsidRPr="005A5238">
        <w:rPr>
          <w:sz w:val="20"/>
          <w:szCs w:val="20"/>
        </w:rPr>
        <w:t>).</w:t>
      </w:r>
    </w:p>
  </w:footnote>
  <w:footnote w:id="55">
    <w:p w14:paraId="26BEA0D8" w14:textId="3D6F362F" w:rsidR="00BA5852" w:rsidRPr="005A5238" w:rsidRDefault="00BA5852"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B3E4E" w:rsidRPr="005A5238">
        <w:rPr>
          <w:sz w:val="20"/>
          <w:szCs w:val="20"/>
        </w:rPr>
        <w:t>Anteproyecto de ley de incorporación del contrato de arrendamiento de bienes en el libro sexto del Código civil de Cataluña</w:t>
      </w:r>
      <w:r w:rsidR="00F92592" w:rsidRPr="005A5238">
        <w:rPr>
          <w:sz w:val="20"/>
          <w:szCs w:val="20"/>
        </w:rPr>
        <w:t xml:space="preserve"> (</w:t>
      </w:r>
      <w:hyperlink r:id="rId24" w:history="1">
        <w:r w:rsidR="00F92592" w:rsidRPr="005A5238">
          <w:rPr>
            <w:rStyle w:val="Hipervnculo"/>
            <w:sz w:val="20"/>
            <w:szCs w:val="20"/>
          </w:rPr>
          <w:t>https://justicia.gencat.cat/ca/detalls/Article/arrendamentbens</w:t>
        </w:r>
      </w:hyperlink>
      <w:r w:rsidR="0075715D" w:rsidRPr="005A5238">
        <w:rPr>
          <w:rStyle w:val="Hipervnculo"/>
          <w:sz w:val="20"/>
          <w:szCs w:val="20"/>
        </w:rPr>
        <w:t xml:space="preserve">, </w:t>
      </w:r>
      <w:r w:rsidR="006B3E4E" w:rsidRPr="005A5238">
        <w:rPr>
          <w:sz w:val="20"/>
          <w:szCs w:val="20"/>
        </w:rPr>
        <w:t>consultado 10-1-2025</w:t>
      </w:r>
      <w:r w:rsidR="00F92592" w:rsidRPr="005A5238">
        <w:rPr>
          <w:sz w:val="20"/>
          <w:szCs w:val="20"/>
        </w:rPr>
        <w:t xml:space="preserve">). </w:t>
      </w:r>
    </w:p>
  </w:footnote>
  <w:footnote w:id="56">
    <w:p w14:paraId="64E5D75A" w14:textId="0C197617" w:rsidR="00AE477B" w:rsidRPr="005A5238" w:rsidRDefault="00AE477B" w:rsidP="00414A69">
      <w:pPr>
        <w:pStyle w:val="Textonotapie"/>
        <w:jc w:val="both"/>
        <w:rPr>
          <w:sz w:val="20"/>
          <w:szCs w:val="20"/>
        </w:rPr>
      </w:pPr>
      <w:r w:rsidRPr="005A5238">
        <w:rPr>
          <w:rStyle w:val="Refdenotaalpie"/>
          <w:sz w:val="20"/>
          <w:szCs w:val="20"/>
        </w:rPr>
        <w:footnoteRef/>
      </w:r>
      <w:r w:rsidR="00CB40FD" w:rsidRPr="005A5238">
        <w:rPr>
          <w:sz w:val="20"/>
          <w:szCs w:val="20"/>
        </w:rPr>
        <w:t xml:space="preserve"> </w:t>
      </w:r>
      <w:r w:rsidR="006B3E4E" w:rsidRPr="005A5238">
        <w:rPr>
          <w:sz w:val="20"/>
          <w:szCs w:val="20"/>
        </w:rPr>
        <w:t xml:space="preserve">Como exponíamos en el comentario al Anteproyecto, ver el informe en: </w:t>
      </w:r>
      <w:hyperlink r:id="rId25" w:anchor="page=1" w:history="1">
        <w:r w:rsidRPr="005A5238">
          <w:rPr>
            <w:rStyle w:val="Hipervnculo"/>
            <w:sz w:val="20"/>
            <w:szCs w:val="20"/>
          </w:rPr>
          <w:t>https://repositori.justicia.gencat.cat/handle/20.500.14226/1413#page=1</w:t>
        </w:r>
      </w:hyperlink>
      <w:r w:rsidR="00CB40FD" w:rsidRPr="005A5238">
        <w:rPr>
          <w:sz w:val="20"/>
          <w:szCs w:val="20"/>
        </w:rPr>
        <w:t xml:space="preserve"> (</w:t>
      </w:r>
      <w:r w:rsidR="006B3E4E" w:rsidRPr="005A5238">
        <w:rPr>
          <w:sz w:val="20"/>
          <w:szCs w:val="20"/>
        </w:rPr>
        <w:t>consultado 10-1-2025</w:t>
      </w:r>
      <w:r w:rsidR="00CB40FD" w:rsidRPr="005A5238">
        <w:rPr>
          <w:sz w:val="20"/>
          <w:szCs w:val="20"/>
        </w:rPr>
        <w:t>).</w:t>
      </w:r>
    </w:p>
  </w:footnote>
  <w:footnote w:id="57">
    <w:p w14:paraId="6BBD5C5B" w14:textId="6A90E3D9" w:rsidR="00AF4253" w:rsidRPr="005A5238" w:rsidRDefault="00AF4253" w:rsidP="00CA797F">
      <w:pPr>
        <w:pStyle w:val="Textonotapie"/>
        <w:jc w:val="both"/>
        <w:rPr>
          <w:sz w:val="20"/>
          <w:szCs w:val="20"/>
        </w:rPr>
      </w:pPr>
      <w:r w:rsidRPr="005A5238">
        <w:rPr>
          <w:rStyle w:val="Refdenotaalpie"/>
          <w:sz w:val="20"/>
          <w:szCs w:val="20"/>
        </w:rPr>
        <w:footnoteRef/>
      </w:r>
      <w:r w:rsidRPr="005A5238">
        <w:rPr>
          <w:sz w:val="20"/>
          <w:szCs w:val="20"/>
        </w:rPr>
        <w:t xml:space="preserve"> </w:t>
      </w:r>
      <w:hyperlink r:id="rId26" w:history="1">
        <w:r w:rsidRPr="005A5238">
          <w:rPr>
            <w:rStyle w:val="Hipervnculo"/>
            <w:sz w:val="20"/>
            <w:szCs w:val="20"/>
          </w:rPr>
          <w:t>https://www.caixabankresearch.com/es/analisis-sectorial/inmobiliario/lo-revela-big-data-sobre-oferta-vivienda-nueva-y-tendencias</w:t>
        </w:r>
      </w:hyperlink>
      <w:r w:rsidRPr="005A5238">
        <w:rPr>
          <w:sz w:val="20"/>
          <w:szCs w:val="20"/>
        </w:rPr>
        <w:t xml:space="preserve"> (consultado 10-3-2025)</w:t>
      </w:r>
      <w:r w:rsidR="00745014" w:rsidRPr="005A5238">
        <w:rPr>
          <w:sz w:val="20"/>
          <w:szCs w:val="20"/>
        </w:rPr>
        <w:t>.</w:t>
      </w:r>
    </w:p>
  </w:footnote>
  <w:footnote w:id="58">
    <w:p w14:paraId="76D6050A" w14:textId="2539A0E2" w:rsidR="00D6326F" w:rsidRPr="005A5238" w:rsidRDefault="00D6326F" w:rsidP="00414A69">
      <w:pPr>
        <w:pStyle w:val="Textonotapie"/>
        <w:jc w:val="both"/>
        <w:rPr>
          <w:sz w:val="20"/>
          <w:szCs w:val="20"/>
        </w:rPr>
      </w:pPr>
      <w:r w:rsidRPr="005A5238">
        <w:rPr>
          <w:rStyle w:val="Refdenotaalpie"/>
          <w:sz w:val="20"/>
          <w:szCs w:val="20"/>
        </w:rPr>
        <w:footnoteRef/>
      </w:r>
      <w:r w:rsidR="00F47421" w:rsidRPr="005A5238">
        <w:rPr>
          <w:sz w:val="20"/>
          <w:szCs w:val="20"/>
        </w:rPr>
        <w:t xml:space="preserve"> </w:t>
      </w:r>
      <w:r w:rsidR="006B3E4E" w:rsidRPr="005A5238">
        <w:rPr>
          <w:sz w:val="20"/>
          <w:szCs w:val="20"/>
        </w:rPr>
        <w:t>Ver</w:t>
      </w:r>
      <w:r w:rsidRPr="005A5238">
        <w:rPr>
          <w:sz w:val="20"/>
          <w:szCs w:val="20"/>
        </w:rPr>
        <w:t xml:space="preserve"> </w:t>
      </w:r>
      <w:hyperlink r:id="rId27" w:history="1">
        <w:r w:rsidRPr="005A5238">
          <w:rPr>
            <w:rStyle w:val="Hipervnculo"/>
            <w:sz w:val="20"/>
            <w:szCs w:val="20"/>
          </w:rPr>
          <w:t>https://elordenmundial.com/mapas-y-graficos/la-banana-azul-europea/</w:t>
        </w:r>
      </w:hyperlink>
      <w:r w:rsidR="00B17DF6" w:rsidRPr="005A5238">
        <w:rPr>
          <w:sz w:val="20"/>
          <w:szCs w:val="20"/>
        </w:rPr>
        <w:t xml:space="preserve"> (</w:t>
      </w:r>
      <w:r w:rsidR="006B3E4E" w:rsidRPr="005A5238">
        <w:rPr>
          <w:sz w:val="20"/>
          <w:szCs w:val="20"/>
        </w:rPr>
        <w:t>consultado 10-1-2025</w:t>
      </w:r>
      <w:r w:rsidR="00B17DF6" w:rsidRPr="005A5238">
        <w:rPr>
          <w:sz w:val="20"/>
          <w:szCs w:val="20"/>
        </w:rPr>
        <w:t>).</w:t>
      </w:r>
    </w:p>
  </w:footnote>
  <w:footnote w:id="59">
    <w:p w14:paraId="687221AE" w14:textId="2607F38E" w:rsidR="00B17DF6" w:rsidRPr="005A5238" w:rsidRDefault="00B17DF6" w:rsidP="00414A69">
      <w:pPr>
        <w:pStyle w:val="Textonotapie"/>
        <w:jc w:val="both"/>
        <w:rPr>
          <w:sz w:val="20"/>
          <w:szCs w:val="20"/>
        </w:rPr>
      </w:pPr>
      <w:r w:rsidRPr="005A5238">
        <w:rPr>
          <w:rStyle w:val="Refdenotaalpie"/>
          <w:sz w:val="20"/>
          <w:szCs w:val="20"/>
        </w:rPr>
        <w:footnoteRef/>
      </w:r>
      <w:r w:rsidRPr="005A5238">
        <w:rPr>
          <w:sz w:val="20"/>
          <w:szCs w:val="20"/>
        </w:rPr>
        <w:t xml:space="preserve"> Disponible </w:t>
      </w:r>
      <w:r w:rsidR="00745014" w:rsidRPr="005A5238">
        <w:rPr>
          <w:sz w:val="20"/>
          <w:szCs w:val="20"/>
        </w:rPr>
        <w:t>en</w:t>
      </w:r>
      <w:r w:rsidRPr="005A5238">
        <w:rPr>
          <w:sz w:val="20"/>
          <w:szCs w:val="20"/>
        </w:rPr>
        <w:t xml:space="preserve">: </w:t>
      </w:r>
      <w:hyperlink r:id="rId28" w:history="1">
        <w:r w:rsidRPr="005A5238">
          <w:rPr>
            <w:rStyle w:val="Hipervnculo"/>
            <w:sz w:val="20"/>
            <w:szCs w:val="20"/>
          </w:rPr>
          <w:t>https://www.calameo.com/books/005958613a12ada2a7780</w:t>
        </w:r>
      </w:hyperlink>
      <w:r w:rsidRPr="005A5238">
        <w:rPr>
          <w:sz w:val="20"/>
          <w:szCs w:val="20"/>
        </w:rPr>
        <w:t xml:space="preserve"> (</w:t>
      </w:r>
      <w:r w:rsidR="006B3E4E" w:rsidRPr="005A5238">
        <w:rPr>
          <w:sz w:val="20"/>
          <w:szCs w:val="20"/>
        </w:rPr>
        <w:t>consultado 10-1-2025</w:t>
      </w:r>
      <w:r w:rsidRPr="005A5238">
        <w:rPr>
          <w:sz w:val="20"/>
          <w:szCs w:val="20"/>
        </w:rPr>
        <w:t>).</w:t>
      </w:r>
    </w:p>
  </w:footnote>
  <w:footnote w:id="60">
    <w:p w14:paraId="7EDC3EC1" w14:textId="323CA21C" w:rsidR="00AE275D" w:rsidRPr="005A5238" w:rsidRDefault="00AE275D"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B3E4E" w:rsidRPr="005A5238">
        <w:rPr>
          <w:sz w:val="20"/>
          <w:szCs w:val="20"/>
        </w:rPr>
        <w:t>Ver</w:t>
      </w:r>
      <w:r w:rsidR="00ED70EA" w:rsidRPr="005A5238">
        <w:rPr>
          <w:sz w:val="20"/>
          <w:szCs w:val="20"/>
        </w:rPr>
        <w:t xml:space="preserve"> </w:t>
      </w:r>
      <w:hyperlink r:id="rId29" w:history="1">
        <w:r w:rsidR="00ED70EA" w:rsidRPr="005A5238">
          <w:rPr>
            <w:rStyle w:val="Hipervnculo"/>
            <w:sz w:val="20"/>
            <w:szCs w:val="20"/>
          </w:rPr>
          <w:t>https://pemb.cat/es/blog/richard_florida_se_lo_repiensa/17/</w:t>
        </w:r>
      </w:hyperlink>
      <w:r w:rsidR="00ED70EA" w:rsidRPr="005A5238">
        <w:rPr>
          <w:sz w:val="20"/>
          <w:szCs w:val="20"/>
        </w:rPr>
        <w:t xml:space="preserve"> (</w:t>
      </w:r>
      <w:r w:rsidR="006B3E4E" w:rsidRPr="005A5238">
        <w:rPr>
          <w:sz w:val="20"/>
          <w:szCs w:val="20"/>
        </w:rPr>
        <w:t>consultado 10-1-2025</w:t>
      </w:r>
      <w:r w:rsidR="00ED70EA" w:rsidRPr="005A5238">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42D3"/>
    <w:multiLevelType w:val="hybridMultilevel"/>
    <w:tmpl w:val="A6324D2C"/>
    <w:lvl w:ilvl="0" w:tplc="E5A0EDD0">
      <w:start w:val="1"/>
      <w:numFmt w:val="bullet"/>
      <w:lvlText w:val="•"/>
      <w:lvlJc w:val="left"/>
      <w:pPr>
        <w:tabs>
          <w:tab w:val="num" w:pos="720"/>
        </w:tabs>
        <w:ind w:left="720" w:hanging="360"/>
      </w:pPr>
      <w:rPr>
        <w:rFonts w:ascii="Times New Roman" w:hAnsi="Times New Roman" w:hint="default"/>
      </w:rPr>
    </w:lvl>
    <w:lvl w:ilvl="1" w:tplc="0D281672" w:tentative="1">
      <w:start w:val="1"/>
      <w:numFmt w:val="bullet"/>
      <w:lvlText w:val="•"/>
      <w:lvlJc w:val="left"/>
      <w:pPr>
        <w:tabs>
          <w:tab w:val="num" w:pos="1440"/>
        </w:tabs>
        <w:ind w:left="1440" w:hanging="360"/>
      </w:pPr>
      <w:rPr>
        <w:rFonts w:ascii="Times New Roman" w:hAnsi="Times New Roman" w:hint="default"/>
      </w:rPr>
    </w:lvl>
    <w:lvl w:ilvl="2" w:tplc="743C8244" w:tentative="1">
      <w:start w:val="1"/>
      <w:numFmt w:val="bullet"/>
      <w:lvlText w:val="•"/>
      <w:lvlJc w:val="left"/>
      <w:pPr>
        <w:tabs>
          <w:tab w:val="num" w:pos="2160"/>
        </w:tabs>
        <w:ind w:left="2160" w:hanging="360"/>
      </w:pPr>
      <w:rPr>
        <w:rFonts w:ascii="Times New Roman" w:hAnsi="Times New Roman" w:hint="default"/>
      </w:rPr>
    </w:lvl>
    <w:lvl w:ilvl="3" w:tplc="F0C4115E" w:tentative="1">
      <w:start w:val="1"/>
      <w:numFmt w:val="bullet"/>
      <w:lvlText w:val="•"/>
      <w:lvlJc w:val="left"/>
      <w:pPr>
        <w:tabs>
          <w:tab w:val="num" w:pos="2880"/>
        </w:tabs>
        <w:ind w:left="2880" w:hanging="360"/>
      </w:pPr>
      <w:rPr>
        <w:rFonts w:ascii="Times New Roman" w:hAnsi="Times New Roman" w:hint="default"/>
      </w:rPr>
    </w:lvl>
    <w:lvl w:ilvl="4" w:tplc="89B8D6FE" w:tentative="1">
      <w:start w:val="1"/>
      <w:numFmt w:val="bullet"/>
      <w:lvlText w:val="•"/>
      <w:lvlJc w:val="left"/>
      <w:pPr>
        <w:tabs>
          <w:tab w:val="num" w:pos="3600"/>
        </w:tabs>
        <w:ind w:left="3600" w:hanging="360"/>
      </w:pPr>
      <w:rPr>
        <w:rFonts w:ascii="Times New Roman" w:hAnsi="Times New Roman" w:hint="default"/>
      </w:rPr>
    </w:lvl>
    <w:lvl w:ilvl="5" w:tplc="56929502" w:tentative="1">
      <w:start w:val="1"/>
      <w:numFmt w:val="bullet"/>
      <w:lvlText w:val="•"/>
      <w:lvlJc w:val="left"/>
      <w:pPr>
        <w:tabs>
          <w:tab w:val="num" w:pos="4320"/>
        </w:tabs>
        <w:ind w:left="4320" w:hanging="360"/>
      </w:pPr>
      <w:rPr>
        <w:rFonts w:ascii="Times New Roman" w:hAnsi="Times New Roman" w:hint="default"/>
      </w:rPr>
    </w:lvl>
    <w:lvl w:ilvl="6" w:tplc="022A4CEC" w:tentative="1">
      <w:start w:val="1"/>
      <w:numFmt w:val="bullet"/>
      <w:lvlText w:val="•"/>
      <w:lvlJc w:val="left"/>
      <w:pPr>
        <w:tabs>
          <w:tab w:val="num" w:pos="5040"/>
        </w:tabs>
        <w:ind w:left="5040" w:hanging="360"/>
      </w:pPr>
      <w:rPr>
        <w:rFonts w:ascii="Times New Roman" w:hAnsi="Times New Roman" w:hint="default"/>
      </w:rPr>
    </w:lvl>
    <w:lvl w:ilvl="7" w:tplc="8BD61400" w:tentative="1">
      <w:start w:val="1"/>
      <w:numFmt w:val="bullet"/>
      <w:lvlText w:val="•"/>
      <w:lvlJc w:val="left"/>
      <w:pPr>
        <w:tabs>
          <w:tab w:val="num" w:pos="5760"/>
        </w:tabs>
        <w:ind w:left="5760" w:hanging="360"/>
      </w:pPr>
      <w:rPr>
        <w:rFonts w:ascii="Times New Roman" w:hAnsi="Times New Roman" w:hint="default"/>
      </w:rPr>
    </w:lvl>
    <w:lvl w:ilvl="8" w:tplc="B1D0FAC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402DE1"/>
    <w:multiLevelType w:val="hybridMultilevel"/>
    <w:tmpl w:val="820464FC"/>
    <w:lvl w:ilvl="0" w:tplc="86C22BB6">
      <w:start w:val="1"/>
      <w:numFmt w:val="bullet"/>
      <w:lvlText w:val="•"/>
      <w:lvlJc w:val="left"/>
      <w:pPr>
        <w:tabs>
          <w:tab w:val="num" w:pos="720"/>
        </w:tabs>
        <w:ind w:left="720" w:hanging="360"/>
      </w:pPr>
      <w:rPr>
        <w:rFonts w:ascii="Times New Roman" w:hAnsi="Times New Roman" w:hint="default"/>
      </w:rPr>
    </w:lvl>
    <w:lvl w:ilvl="1" w:tplc="3946BA6C" w:tentative="1">
      <w:start w:val="1"/>
      <w:numFmt w:val="bullet"/>
      <w:lvlText w:val="•"/>
      <w:lvlJc w:val="left"/>
      <w:pPr>
        <w:tabs>
          <w:tab w:val="num" w:pos="1440"/>
        </w:tabs>
        <w:ind w:left="1440" w:hanging="360"/>
      </w:pPr>
      <w:rPr>
        <w:rFonts w:ascii="Times New Roman" w:hAnsi="Times New Roman" w:hint="default"/>
      </w:rPr>
    </w:lvl>
    <w:lvl w:ilvl="2" w:tplc="735ADEAE" w:tentative="1">
      <w:start w:val="1"/>
      <w:numFmt w:val="bullet"/>
      <w:lvlText w:val="•"/>
      <w:lvlJc w:val="left"/>
      <w:pPr>
        <w:tabs>
          <w:tab w:val="num" w:pos="2160"/>
        </w:tabs>
        <w:ind w:left="2160" w:hanging="360"/>
      </w:pPr>
      <w:rPr>
        <w:rFonts w:ascii="Times New Roman" w:hAnsi="Times New Roman" w:hint="default"/>
      </w:rPr>
    </w:lvl>
    <w:lvl w:ilvl="3" w:tplc="5A3C107A" w:tentative="1">
      <w:start w:val="1"/>
      <w:numFmt w:val="bullet"/>
      <w:lvlText w:val="•"/>
      <w:lvlJc w:val="left"/>
      <w:pPr>
        <w:tabs>
          <w:tab w:val="num" w:pos="2880"/>
        </w:tabs>
        <w:ind w:left="2880" w:hanging="360"/>
      </w:pPr>
      <w:rPr>
        <w:rFonts w:ascii="Times New Roman" w:hAnsi="Times New Roman" w:hint="default"/>
      </w:rPr>
    </w:lvl>
    <w:lvl w:ilvl="4" w:tplc="9606ECF2" w:tentative="1">
      <w:start w:val="1"/>
      <w:numFmt w:val="bullet"/>
      <w:lvlText w:val="•"/>
      <w:lvlJc w:val="left"/>
      <w:pPr>
        <w:tabs>
          <w:tab w:val="num" w:pos="3600"/>
        </w:tabs>
        <w:ind w:left="3600" w:hanging="360"/>
      </w:pPr>
      <w:rPr>
        <w:rFonts w:ascii="Times New Roman" w:hAnsi="Times New Roman" w:hint="default"/>
      </w:rPr>
    </w:lvl>
    <w:lvl w:ilvl="5" w:tplc="9FF86DD4" w:tentative="1">
      <w:start w:val="1"/>
      <w:numFmt w:val="bullet"/>
      <w:lvlText w:val="•"/>
      <w:lvlJc w:val="left"/>
      <w:pPr>
        <w:tabs>
          <w:tab w:val="num" w:pos="4320"/>
        </w:tabs>
        <w:ind w:left="4320" w:hanging="360"/>
      </w:pPr>
      <w:rPr>
        <w:rFonts w:ascii="Times New Roman" w:hAnsi="Times New Roman" w:hint="default"/>
      </w:rPr>
    </w:lvl>
    <w:lvl w:ilvl="6" w:tplc="E94CB2CE" w:tentative="1">
      <w:start w:val="1"/>
      <w:numFmt w:val="bullet"/>
      <w:lvlText w:val="•"/>
      <w:lvlJc w:val="left"/>
      <w:pPr>
        <w:tabs>
          <w:tab w:val="num" w:pos="5040"/>
        </w:tabs>
        <w:ind w:left="5040" w:hanging="360"/>
      </w:pPr>
      <w:rPr>
        <w:rFonts w:ascii="Times New Roman" w:hAnsi="Times New Roman" w:hint="default"/>
      </w:rPr>
    </w:lvl>
    <w:lvl w:ilvl="7" w:tplc="267265CA" w:tentative="1">
      <w:start w:val="1"/>
      <w:numFmt w:val="bullet"/>
      <w:lvlText w:val="•"/>
      <w:lvlJc w:val="left"/>
      <w:pPr>
        <w:tabs>
          <w:tab w:val="num" w:pos="5760"/>
        </w:tabs>
        <w:ind w:left="5760" w:hanging="360"/>
      </w:pPr>
      <w:rPr>
        <w:rFonts w:ascii="Times New Roman" w:hAnsi="Times New Roman" w:hint="default"/>
      </w:rPr>
    </w:lvl>
    <w:lvl w:ilvl="8" w:tplc="610A25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795DB2"/>
    <w:multiLevelType w:val="hybridMultilevel"/>
    <w:tmpl w:val="7F405B44"/>
    <w:lvl w:ilvl="0" w:tplc="ADCE261C">
      <w:start w:val="1"/>
      <w:numFmt w:val="bullet"/>
      <w:lvlText w:val="•"/>
      <w:lvlJc w:val="left"/>
      <w:pPr>
        <w:tabs>
          <w:tab w:val="num" w:pos="720"/>
        </w:tabs>
        <w:ind w:left="720" w:hanging="360"/>
      </w:pPr>
      <w:rPr>
        <w:rFonts w:ascii="Times New Roman" w:hAnsi="Times New Roman" w:hint="default"/>
      </w:rPr>
    </w:lvl>
    <w:lvl w:ilvl="1" w:tplc="42EA7E42" w:tentative="1">
      <w:start w:val="1"/>
      <w:numFmt w:val="bullet"/>
      <w:lvlText w:val="•"/>
      <w:lvlJc w:val="left"/>
      <w:pPr>
        <w:tabs>
          <w:tab w:val="num" w:pos="1440"/>
        </w:tabs>
        <w:ind w:left="1440" w:hanging="360"/>
      </w:pPr>
      <w:rPr>
        <w:rFonts w:ascii="Times New Roman" w:hAnsi="Times New Roman" w:hint="default"/>
      </w:rPr>
    </w:lvl>
    <w:lvl w:ilvl="2" w:tplc="32B0E77A" w:tentative="1">
      <w:start w:val="1"/>
      <w:numFmt w:val="bullet"/>
      <w:lvlText w:val="•"/>
      <w:lvlJc w:val="left"/>
      <w:pPr>
        <w:tabs>
          <w:tab w:val="num" w:pos="2160"/>
        </w:tabs>
        <w:ind w:left="2160" w:hanging="360"/>
      </w:pPr>
      <w:rPr>
        <w:rFonts w:ascii="Times New Roman" w:hAnsi="Times New Roman" w:hint="default"/>
      </w:rPr>
    </w:lvl>
    <w:lvl w:ilvl="3" w:tplc="CD3C19B0" w:tentative="1">
      <w:start w:val="1"/>
      <w:numFmt w:val="bullet"/>
      <w:lvlText w:val="•"/>
      <w:lvlJc w:val="left"/>
      <w:pPr>
        <w:tabs>
          <w:tab w:val="num" w:pos="2880"/>
        </w:tabs>
        <w:ind w:left="2880" w:hanging="360"/>
      </w:pPr>
      <w:rPr>
        <w:rFonts w:ascii="Times New Roman" w:hAnsi="Times New Roman" w:hint="default"/>
      </w:rPr>
    </w:lvl>
    <w:lvl w:ilvl="4" w:tplc="EC38AF92" w:tentative="1">
      <w:start w:val="1"/>
      <w:numFmt w:val="bullet"/>
      <w:lvlText w:val="•"/>
      <w:lvlJc w:val="left"/>
      <w:pPr>
        <w:tabs>
          <w:tab w:val="num" w:pos="3600"/>
        </w:tabs>
        <w:ind w:left="3600" w:hanging="360"/>
      </w:pPr>
      <w:rPr>
        <w:rFonts w:ascii="Times New Roman" w:hAnsi="Times New Roman" w:hint="default"/>
      </w:rPr>
    </w:lvl>
    <w:lvl w:ilvl="5" w:tplc="E3FA8FE4" w:tentative="1">
      <w:start w:val="1"/>
      <w:numFmt w:val="bullet"/>
      <w:lvlText w:val="•"/>
      <w:lvlJc w:val="left"/>
      <w:pPr>
        <w:tabs>
          <w:tab w:val="num" w:pos="4320"/>
        </w:tabs>
        <w:ind w:left="4320" w:hanging="360"/>
      </w:pPr>
      <w:rPr>
        <w:rFonts w:ascii="Times New Roman" w:hAnsi="Times New Roman" w:hint="default"/>
      </w:rPr>
    </w:lvl>
    <w:lvl w:ilvl="6" w:tplc="BE9C0304" w:tentative="1">
      <w:start w:val="1"/>
      <w:numFmt w:val="bullet"/>
      <w:lvlText w:val="•"/>
      <w:lvlJc w:val="left"/>
      <w:pPr>
        <w:tabs>
          <w:tab w:val="num" w:pos="5040"/>
        </w:tabs>
        <w:ind w:left="5040" w:hanging="360"/>
      </w:pPr>
      <w:rPr>
        <w:rFonts w:ascii="Times New Roman" w:hAnsi="Times New Roman" w:hint="default"/>
      </w:rPr>
    </w:lvl>
    <w:lvl w:ilvl="7" w:tplc="012AE150" w:tentative="1">
      <w:start w:val="1"/>
      <w:numFmt w:val="bullet"/>
      <w:lvlText w:val="•"/>
      <w:lvlJc w:val="left"/>
      <w:pPr>
        <w:tabs>
          <w:tab w:val="num" w:pos="5760"/>
        </w:tabs>
        <w:ind w:left="5760" w:hanging="360"/>
      </w:pPr>
      <w:rPr>
        <w:rFonts w:ascii="Times New Roman" w:hAnsi="Times New Roman" w:hint="default"/>
      </w:rPr>
    </w:lvl>
    <w:lvl w:ilvl="8" w:tplc="4134B3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B178D8"/>
    <w:multiLevelType w:val="hybridMultilevel"/>
    <w:tmpl w:val="A5BCCA8E"/>
    <w:lvl w:ilvl="0" w:tplc="49AE228A">
      <w:start w:val="1"/>
      <w:numFmt w:val="bullet"/>
      <w:lvlText w:val="•"/>
      <w:lvlJc w:val="left"/>
      <w:pPr>
        <w:tabs>
          <w:tab w:val="num" w:pos="720"/>
        </w:tabs>
        <w:ind w:left="720" w:hanging="360"/>
      </w:pPr>
      <w:rPr>
        <w:rFonts w:ascii="Arial" w:hAnsi="Arial" w:hint="default"/>
      </w:rPr>
    </w:lvl>
    <w:lvl w:ilvl="1" w:tplc="65B68E96" w:tentative="1">
      <w:start w:val="1"/>
      <w:numFmt w:val="bullet"/>
      <w:lvlText w:val="•"/>
      <w:lvlJc w:val="left"/>
      <w:pPr>
        <w:tabs>
          <w:tab w:val="num" w:pos="1440"/>
        </w:tabs>
        <w:ind w:left="1440" w:hanging="360"/>
      </w:pPr>
      <w:rPr>
        <w:rFonts w:ascii="Arial" w:hAnsi="Arial" w:hint="default"/>
      </w:rPr>
    </w:lvl>
    <w:lvl w:ilvl="2" w:tplc="9A74CF08" w:tentative="1">
      <w:start w:val="1"/>
      <w:numFmt w:val="bullet"/>
      <w:lvlText w:val="•"/>
      <w:lvlJc w:val="left"/>
      <w:pPr>
        <w:tabs>
          <w:tab w:val="num" w:pos="2160"/>
        </w:tabs>
        <w:ind w:left="2160" w:hanging="360"/>
      </w:pPr>
      <w:rPr>
        <w:rFonts w:ascii="Arial" w:hAnsi="Arial" w:hint="default"/>
      </w:rPr>
    </w:lvl>
    <w:lvl w:ilvl="3" w:tplc="F0E6427E" w:tentative="1">
      <w:start w:val="1"/>
      <w:numFmt w:val="bullet"/>
      <w:lvlText w:val="•"/>
      <w:lvlJc w:val="left"/>
      <w:pPr>
        <w:tabs>
          <w:tab w:val="num" w:pos="2880"/>
        </w:tabs>
        <w:ind w:left="2880" w:hanging="360"/>
      </w:pPr>
      <w:rPr>
        <w:rFonts w:ascii="Arial" w:hAnsi="Arial" w:hint="default"/>
      </w:rPr>
    </w:lvl>
    <w:lvl w:ilvl="4" w:tplc="293AEC1A" w:tentative="1">
      <w:start w:val="1"/>
      <w:numFmt w:val="bullet"/>
      <w:lvlText w:val="•"/>
      <w:lvlJc w:val="left"/>
      <w:pPr>
        <w:tabs>
          <w:tab w:val="num" w:pos="3600"/>
        </w:tabs>
        <w:ind w:left="3600" w:hanging="360"/>
      </w:pPr>
      <w:rPr>
        <w:rFonts w:ascii="Arial" w:hAnsi="Arial" w:hint="default"/>
      </w:rPr>
    </w:lvl>
    <w:lvl w:ilvl="5" w:tplc="2F5AE228" w:tentative="1">
      <w:start w:val="1"/>
      <w:numFmt w:val="bullet"/>
      <w:lvlText w:val="•"/>
      <w:lvlJc w:val="left"/>
      <w:pPr>
        <w:tabs>
          <w:tab w:val="num" w:pos="4320"/>
        </w:tabs>
        <w:ind w:left="4320" w:hanging="360"/>
      </w:pPr>
      <w:rPr>
        <w:rFonts w:ascii="Arial" w:hAnsi="Arial" w:hint="default"/>
      </w:rPr>
    </w:lvl>
    <w:lvl w:ilvl="6" w:tplc="C2C219D8" w:tentative="1">
      <w:start w:val="1"/>
      <w:numFmt w:val="bullet"/>
      <w:lvlText w:val="•"/>
      <w:lvlJc w:val="left"/>
      <w:pPr>
        <w:tabs>
          <w:tab w:val="num" w:pos="5040"/>
        </w:tabs>
        <w:ind w:left="5040" w:hanging="360"/>
      </w:pPr>
      <w:rPr>
        <w:rFonts w:ascii="Arial" w:hAnsi="Arial" w:hint="default"/>
      </w:rPr>
    </w:lvl>
    <w:lvl w:ilvl="7" w:tplc="D616B2AE" w:tentative="1">
      <w:start w:val="1"/>
      <w:numFmt w:val="bullet"/>
      <w:lvlText w:val="•"/>
      <w:lvlJc w:val="left"/>
      <w:pPr>
        <w:tabs>
          <w:tab w:val="num" w:pos="5760"/>
        </w:tabs>
        <w:ind w:left="5760" w:hanging="360"/>
      </w:pPr>
      <w:rPr>
        <w:rFonts w:ascii="Arial" w:hAnsi="Arial" w:hint="default"/>
      </w:rPr>
    </w:lvl>
    <w:lvl w:ilvl="8" w:tplc="4E8471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0333E4"/>
    <w:multiLevelType w:val="hybridMultilevel"/>
    <w:tmpl w:val="20D4EF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3E4D89"/>
    <w:multiLevelType w:val="hybridMultilevel"/>
    <w:tmpl w:val="7C1A904C"/>
    <w:lvl w:ilvl="0" w:tplc="353C9CB0">
      <w:start w:val="1"/>
      <w:numFmt w:val="bullet"/>
      <w:lvlText w:val="•"/>
      <w:lvlJc w:val="left"/>
      <w:pPr>
        <w:tabs>
          <w:tab w:val="num" w:pos="720"/>
        </w:tabs>
        <w:ind w:left="720" w:hanging="360"/>
      </w:pPr>
      <w:rPr>
        <w:rFonts w:ascii="Times New Roman" w:hAnsi="Times New Roman" w:hint="default"/>
      </w:rPr>
    </w:lvl>
    <w:lvl w:ilvl="1" w:tplc="86C6E24C" w:tentative="1">
      <w:start w:val="1"/>
      <w:numFmt w:val="bullet"/>
      <w:lvlText w:val="•"/>
      <w:lvlJc w:val="left"/>
      <w:pPr>
        <w:tabs>
          <w:tab w:val="num" w:pos="1440"/>
        </w:tabs>
        <w:ind w:left="1440" w:hanging="360"/>
      </w:pPr>
      <w:rPr>
        <w:rFonts w:ascii="Times New Roman" w:hAnsi="Times New Roman" w:hint="default"/>
      </w:rPr>
    </w:lvl>
    <w:lvl w:ilvl="2" w:tplc="2CF4E1CA" w:tentative="1">
      <w:start w:val="1"/>
      <w:numFmt w:val="bullet"/>
      <w:lvlText w:val="•"/>
      <w:lvlJc w:val="left"/>
      <w:pPr>
        <w:tabs>
          <w:tab w:val="num" w:pos="2160"/>
        </w:tabs>
        <w:ind w:left="2160" w:hanging="360"/>
      </w:pPr>
      <w:rPr>
        <w:rFonts w:ascii="Times New Roman" w:hAnsi="Times New Roman" w:hint="default"/>
      </w:rPr>
    </w:lvl>
    <w:lvl w:ilvl="3" w:tplc="8A6CBA4A" w:tentative="1">
      <w:start w:val="1"/>
      <w:numFmt w:val="bullet"/>
      <w:lvlText w:val="•"/>
      <w:lvlJc w:val="left"/>
      <w:pPr>
        <w:tabs>
          <w:tab w:val="num" w:pos="2880"/>
        </w:tabs>
        <w:ind w:left="2880" w:hanging="360"/>
      </w:pPr>
      <w:rPr>
        <w:rFonts w:ascii="Times New Roman" w:hAnsi="Times New Roman" w:hint="default"/>
      </w:rPr>
    </w:lvl>
    <w:lvl w:ilvl="4" w:tplc="20666806" w:tentative="1">
      <w:start w:val="1"/>
      <w:numFmt w:val="bullet"/>
      <w:lvlText w:val="•"/>
      <w:lvlJc w:val="left"/>
      <w:pPr>
        <w:tabs>
          <w:tab w:val="num" w:pos="3600"/>
        </w:tabs>
        <w:ind w:left="3600" w:hanging="360"/>
      </w:pPr>
      <w:rPr>
        <w:rFonts w:ascii="Times New Roman" w:hAnsi="Times New Roman" w:hint="default"/>
      </w:rPr>
    </w:lvl>
    <w:lvl w:ilvl="5" w:tplc="1188FD02" w:tentative="1">
      <w:start w:val="1"/>
      <w:numFmt w:val="bullet"/>
      <w:lvlText w:val="•"/>
      <w:lvlJc w:val="left"/>
      <w:pPr>
        <w:tabs>
          <w:tab w:val="num" w:pos="4320"/>
        </w:tabs>
        <w:ind w:left="4320" w:hanging="360"/>
      </w:pPr>
      <w:rPr>
        <w:rFonts w:ascii="Times New Roman" w:hAnsi="Times New Roman" w:hint="default"/>
      </w:rPr>
    </w:lvl>
    <w:lvl w:ilvl="6" w:tplc="DF0C486A" w:tentative="1">
      <w:start w:val="1"/>
      <w:numFmt w:val="bullet"/>
      <w:lvlText w:val="•"/>
      <w:lvlJc w:val="left"/>
      <w:pPr>
        <w:tabs>
          <w:tab w:val="num" w:pos="5040"/>
        </w:tabs>
        <w:ind w:left="5040" w:hanging="360"/>
      </w:pPr>
      <w:rPr>
        <w:rFonts w:ascii="Times New Roman" w:hAnsi="Times New Roman" w:hint="default"/>
      </w:rPr>
    </w:lvl>
    <w:lvl w:ilvl="7" w:tplc="8D88251C" w:tentative="1">
      <w:start w:val="1"/>
      <w:numFmt w:val="bullet"/>
      <w:lvlText w:val="•"/>
      <w:lvlJc w:val="left"/>
      <w:pPr>
        <w:tabs>
          <w:tab w:val="num" w:pos="5760"/>
        </w:tabs>
        <w:ind w:left="5760" w:hanging="360"/>
      </w:pPr>
      <w:rPr>
        <w:rFonts w:ascii="Times New Roman" w:hAnsi="Times New Roman" w:hint="default"/>
      </w:rPr>
    </w:lvl>
    <w:lvl w:ilvl="8" w:tplc="2A92AD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1314D5"/>
    <w:multiLevelType w:val="hybridMultilevel"/>
    <w:tmpl w:val="E7B224DA"/>
    <w:lvl w:ilvl="0" w:tplc="32B4849A">
      <w:start w:val="1"/>
      <w:numFmt w:val="bullet"/>
      <w:lvlText w:val="•"/>
      <w:lvlJc w:val="left"/>
      <w:pPr>
        <w:tabs>
          <w:tab w:val="num" w:pos="720"/>
        </w:tabs>
        <w:ind w:left="720" w:hanging="360"/>
      </w:pPr>
      <w:rPr>
        <w:rFonts w:ascii="Arial" w:hAnsi="Arial" w:hint="default"/>
      </w:rPr>
    </w:lvl>
    <w:lvl w:ilvl="1" w:tplc="7CF09B8C" w:tentative="1">
      <w:start w:val="1"/>
      <w:numFmt w:val="bullet"/>
      <w:lvlText w:val="•"/>
      <w:lvlJc w:val="left"/>
      <w:pPr>
        <w:tabs>
          <w:tab w:val="num" w:pos="1440"/>
        </w:tabs>
        <w:ind w:left="1440" w:hanging="360"/>
      </w:pPr>
      <w:rPr>
        <w:rFonts w:ascii="Arial" w:hAnsi="Arial" w:hint="default"/>
      </w:rPr>
    </w:lvl>
    <w:lvl w:ilvl="2" w:tplc="EA9AAB9C" w:tentative="1">
      <w:start w:val="1"/>
      <w:numFmt w:val="bullet"/>
      <w:lvlText w:val="•"/>
      <w:lvlJc w:val="left"/>
      <w:pPr>
        <w:tabs>
          <w:tab w:val="num" w:pos="2160"/>
        </w:tabs>
        <w:ind w:left="2160" w:hanging="360"/>
      </w:pPr>
      <w:rPr>
        <w:rFonts w:ascii="Arial" w:hAnsi="Arial" w:hint="default"/>
      </w:rPr>
    </w:lvl>
    <w:lvl w:ilvl="3" w:tplc="32962B8E" w:tentative="1">
      <w:start w:val="1"/>
      <w:numFmt w:val="bullet"/>
      <w:lvlText w:val="•"/>
      <w:lvlJc w:val="left"/>
      <w:pPr>
        <w:tabs>
          <w:tab w:val="num" w:pos="2880"/>
        </w:tabs>
        <w:ind w:left="2880" w:hanging="360"/>
      </w:pPr>
      <w:rPr>
        <w:rFonts w:ascii="Arial" w:hAnsi="Arial" w:hint="default"/>
      </w:rPr>
    </w:lvl>
    <w:lvl w:ilvl="4" w:tplc="6C80D686" w:tentative="1">
      <w:start w:val="1"/>
      <w:numFmt w:val="bullet"/>
      <w:lvlText w:val="•"/>
      <w:lvlJc w:val="left"/>
      <w:pPr>
        <w:tabs>
          <w:tab w:val="num" w:pos="3600"/>
        </w:tabs>
        <w:ind w:left="3600" w:hanging="360"/>
      </w:pPr>
      <w:rPr>
        <w:rFonts w:ascii="Arial" w:hAnsi="Arial" w:hint="default"/>
      </w:rPr>
    </w:lvl>
    <w:lvl w:ilvl="5" w:tplc="5F98CA5E" w:tentative="1">
      <w:start w:val="1"/>
      <w:numFmt w:val="bullet"/>
      <w:lvlText w:val="•"/>
      <w:lvlJc w:val="left"/>
      <w:pPr>
        <w:tabs>
          <w:tab w:val="num" w:pos="4320"/>
        </w:tabs>
        <w:ind w:left="4320" w:hanging="360"/>
      </w:pPr>
      <w:rPr>
        <w:rFonts w:ascii="Arial" w:hAnsi="Arial" w:hint="default"/>
      </w:rPr>
    </w:lvl>
    <w:lvl w:ilvl="6" w:tplc="F62819C6" w:tentative="1">
      <w:start w:val="1"/>
      <w:numFmt w:val="bullet"/>
      <w:lvlText w:val="•"/>
      <w:lvlJc w:val="left"/>
      <w:pPr>
        <w:tabs>
          <w:tab w:val="num" w:pos="5040"/>
        </w:tabs>
        <w:ind w:left="5040" w:hanging="360"/>
      </w:pPr>
      <w:rPr>
        <w:rFonts w:ascii="Arial" w:hAnsi="Arial" w:hint="default"/>
      </w:rPr>
    </w:lvl>
    <w:lvl w:ilvl="7" w:tplc="3B126FD8" w:tentative="1">
      <w:start w:val="1"/>
      <w:numFmt w:val="bullet"/>
      <w:lvlText w:val="•"/>
      <w:lvlJc w:val="left"/>
      <w:pPr>
        <w:tabs>
          <w:tab w:val="num" w:pos="5760"/>
        </w:tabs>
        <w:ind w:left="5760" w:hanging="360"/>
      </w:pPr>
      <w:rPr>
        <w:rFonts w:ascii="Arial" w:hAnsi="Arial" w:hint="default"/>
      </w:rPr>
    </w:lvl>
    <w:lvl w:ilvl="8" w:tplc="511041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3E1B8A"/>
    <w:multiLevelType w:val="multilevel"/>
    <w:tmpl w:val="5F303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33746A"/>
    <w:multiLevelType w:val="hybridMultilevel"/>
    <w:tmpl w:val="BE182374"/>
    <w:lvl w:ilvl="0" w:tplc="684CCD98">
      <w:start w:val="1"/>
      <w:numFmt w:val="bullet"/>
      <w:lvlText w:val="•"/>
      <w:lvlJc w:val="left"/>
      <w:pPr>
        <w:tabs>
          <w:tab w:val="num" w:pos="720"/>
        </w:tabs>
        <w:ind w:left="720" w:hanging="360"/>
      </w:pPr>
      <w:rPr>
        <w:rFonts w:ascii="Times New Roman" w:hAnsi="Times New Roman" w:hint="default"/>
      </w:rPr>
    </w:lvl>
    <w:lvl w:ilvl="1" w:tplc="C668F6A0" w:tentative="1">
      <w:start w:val="1"/>
      <w:numFmt w:val="bullet"/>
      <w:lvlText w:val="•"/>
      <w:lvlJc w:val="left"/>
      <w:pPr>
        <w:tabs>
          <w:tab w:val="num" w:pos="1440"/>
        </w:tabs>
        <w:ind w:left="1440" w:hanging="360"/>
      </w:pPr>
      <w:rPr>
        <w:rFonts w:ascii="Times New Roman" w:hAnsi="Times New Roman" w:hint="default"/>
      </w:rPr>
    </w:lvl>
    <w:lvl w:ilvl="2" w:tplc="23501BAE" w:tentative="1">
      <w:start w:val="1"/>
      <w:numFmt w:val="bullet"/>
      <w:lvlText w:val="•"/>
      <w:lvlJc w:val="left"/>
      <w:pPr>
        <w:tabs>
          <w:tab w:val="num" w:pos="2160"/>
        </w:tabs>
        <w:ind w:left="2160" w:hanging="360"/>
      </w:pPr>
      <w:rPr>
        <w:rFonts w:ascii="Times New Roman" w:hAnsi="Times New Roman" w:hint="default"/>
      </w:rPr>
    </w:lvl>
    <w:lvl w:ilvl="3" w:tplc="6198A258" w:tentative="1">
      <w:start w:val="1"/>
      <w:numFmt w:val="bullet"/>
      <w:lvlText w:val="•"/>
      <w:lvlJc w:val="left"/>
      <w:pPr>
        <w:tabs>
          <w:tab w:val="num" w:pos="2880"/>
        </w:tabs>
        <w:ind w:left="2880" w:hanging="360"/>
      </w:pPr>
      <w:rPr>
        <w:rFonts w:ascii="Times New Roman" w:hAnsi="Times New Roman" w:hint="default"/>
      </w:rPr>
    </w:lvl>
    <w:lvl w:ilvl="4" w:tplc="7E56328A" w:tentative="1">
      <w:start w:val="1"/>
      <w:numFmt w:val="bullet"/>
      <w:lvlText w:val="•"/>
      <w:lvlJc w:val="left"/>
      <w:pPr>
        <w:tabs>
          <w:tab w:val="num" w:pos="3600"/>
        </w:tabs>
        <w:ind w:left="3600" w:hanging="360"/>
      </w:pPr>
      <w:rPr>
        <w:rFonts w:ascii="Times New Roman" w:hAnsi="Times New Roman" w:hint="default"/>
      </w:rPr>
    </w:lvl>
    <w:lvl w:ilvl="5" w:tplc="42AE6E30" w:tentative="1">
      <w:start w:val="1"/>
      <w:numFmt w:val="bullet"/>
      <w:lvlText w:val="•"/>
      <w:lvlJc w:val="left"/>
      <w:pPr>
        <w:tabs>
          <w:tab w:val="num" w:pos="4320"/>
        </w:tabs>
        <w:ind w:left="4320" w:hanging="360"/>
      </w:pPr>
      <w:rPr>
        <w:rFonts w:ascii="Times New Roman" w:hAnsi="Times New Roman" w:hint="default"/>
      </w:rPr>
    </w:lvl>
    <w:lvl w:ilvl="6" w:tplc="A3DEECB2" w:tentative="1">
      <w:start w:val="1"/>
      <w:numFmt w:val="bullet"/>
      <w:lvlText w:val="•"/>
      <w:lvlJc w:val="left"/>
      <w:pPr>
        <w:tabs>
          <w:tab w:val="num" w:pos="5040"/>
        </w:tabs>
        <w:ind w:left="5040" w:hanging="360"/>
      </w:pPr>
      <w:rPr>
        <w:rFonts w:ascii="Times New Roman" w:hAnsi="Times New Roman" w:hint="default"/>
      </w:rPr>
    </w:lvl>
    <w:lvl w:ilvl="7" w:tplc="11FE7DD0" w:tentative="1">
      <w:start w:val="1"/>
      <w:numFmt w:val="bullet"/>
      <w:lvlText w:val="•"/>
      <w:lvlJc w:val="left"/>
      <w:pPr>
        <w:tabs>
          <w:tab w:val="num" w:pos="5760"/>
        </w:tabs>
        <w:ind w:left="5760" w:hanging="360"/>
      </w:pPr>
      <w:rPr>
        <w:rFonts w:ascii="Times New Roman" w:hAnsi="Times New Roman" w:hint="default"/>
      </w:rPr>
    </w:lvl>
    <w:lvl w:ilvl="8" w:tplc="1B12D45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6477E38"/>
    <w:multiLevelType w:val="hybridMultilevel"/>
    <w:tmpl w:val="F67CBBC2"/>
    <w:lvl w:ilvl="0" w:tplc="9524F432">
      <w:start w:val="1"/>
      <w:numFmt w:val="bullet"/>
      <w:lvlText w:val="-"/>
      <w:lvlJc w:val="left"/>
      <w:pPr>
        <w:tabs>
          <w:tab w:val="num" w:pos="720"/>
        </w:tabs>
        <w:ind w:left="720" w:hanging="360"/>
      </w:pPr>
      <w:rPr>
        <w:rFonts w:ascii="Times New Roman" w:hAnsi="Times New Roman" w:hint="default"/>
      </w:rPr>
    </w:lvl>
    <w:lvl w:ilvl="1" w:tplc="D1B0C5C6" w:tentative="1">
      <w:start w:val="1"/>
      <w:numFmt w:val="bullet"/>
      <w:lvlText w:val="-"/>
      <w:lvlJc w:val="left"/>
      <w:pPr>
        <w:tabs>
          <w:tab w:val="num" w:pos="1440"/>
        </w:tabs>
        <w:ind w:left="1440" w:hanging="360"/>
      </w:pPr>
      <w:rPr>
        <w:rFonts w:ascii="Times New Roman" w:hAnsi="Times New Roman" w:hint="default"/>
      </w:rPr>
    </w:lvl>
    <w:lvl w:ilvl="2" w:tplc="CE86755E" w:tentative="1">
      <w:start w:val="1"/>
      <w:numFmt w:val="bullet"/>
      <w:lvlText w:val="-"/>
      <w:lvlJc w:val="left"/>
      <w:pPr>
        <w:tabs>
          <w:tab w:val="num" w:pos="2160"/>
        </w:tabs>
        <w:ind w:left="2160" w:hanging="360"/>
      </w:pPr>
      <w:rPr>
        <w:rFonts w:ascii="Times New Roman" w:hAnsi="Times New Roman" w:hint="default"/>
      </w:rPr>
    </w:lvl>
    <w:lvl w:ilvl="3" w:tplc="299A76B2" w:tentative="1">
      <w:start w:val="1"/>
      <w:numFmt w:val="bullet"/>
      <w:lvlText w:val="-"/>
      <w:lvlJc w:val="left"/>
      <w:pPr>
        <w:tabs>
          <w:tab w:val="num" w:pos="2880"/>
        </w:tabs>
        <w:ind w:left="2880" w:hanging="360"/>
      </w:pPr>
      <w:rPr>
        <w:rFonts w:ascii="Times New Roman" w:hAnsi="Times New Roman" w:hint="default"/>
      </w:rPr>
    </w:lvl>
    <w:lvl w:ilvl="4" w:tplc="2B0CD0F0" w:tentative="1">
      <w:start w:val="1"/>
      <w:numFmt w:val="bullet"/>
      <w:lvlText w:val="-"/>
      <w:lvlJc w:val="left"/>
      <w:pPr>
        <w:tabs>
          <w:tab w:val="num" w:pos="3600"/>
        </w:tabs>
        <w:ind w:left="3600" w:hanging="360"/>
      </w:pPr>
      <w:rPr>
        <w:rFonts w:ascii="Times New Roman" w:hAnsi="Times New Roman" w:hint="default"/>
      </w:rPr>
    </w:lvl>
    <w:lvl w:ilvl="5" w:tplc="1B9CA852" w:tentative="1">
      <w:start w:val="1"/>
      <w:numFmt w:val="bullet"/>
      <w:lvlText w:val="-"/>
      <w:lvlJc w:val="left"/>
      <w:pPr>
        <w:tabs>
          <w:tab w:val="num" w:pos="4320"/>
        </w:tabs>
        <w:ind w:left="4320" w:hanging="360"/>
      </w:pPr>
      <w:rPr>
        <w:rFonts w:ascii="Times New Roman" w:hAnsi="Times New Roman" w:hint="default"/>
      </w:rPr>
    </w:lvl>
    <w:lvl w:ilvl="6" w:tplc="D862E5CA" w:tentative="1">
      <w:start w:val="1"/>
      <w:numFmt w:val="bullet"/>
      <w:lvlText w:val="-"/>
      <w:lvlJc w:val="left"/>
      <w:pPr>
        <w:tabs>
          <w:tab w:val="num" w:pos="5040"/>
        </w:tabs>
        <w:ind w:left="5040" w:hanging="360"/>
      </w:pPr>
      <w:rPr>
        <w:rFonts w:ascii="Times New Roman" w:hAnsi="Times New Roman" w:hint="default"/>
      </w:rPr>
    </w:lvl>
    <w:lvl w:ilvl="7" w:tplc="0C22B20C" w:tentative="1">
      <w:start w:val="1"/>
      <w:numFmt w:val="bullet"/>
      <w:lvlText w:val="-"/>
      <w:lvlJc w:val="left"/>
      <w:pPr>
        <w:tabs>
          <w:tab w:val="num" w:pos="5760"/>
        </w:tabs>
        <w:ind w:left="5760" w:hanging="360"/>
      </w:pPr>
      <w:rPr>
        <w:rFonts w:ascii="Times New Roman" w:hAnsi="Times New Roman" w:hint="default"/>
      </w:rPr>
    </w:lvl>
    <w:lvl w:ilvl="8" w:tplc="129E8BF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AA0409A"/>
    <w:multiLevelType w:val="hybridMultilevel"/>
    <w:tmpl w:val="8DA474CC"/>
    <w:lvl w:ilvl="0" w:tplc="1E9467F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1C07782"/>
    <w:multiLevelType w:val="hybridMultilevel"/>
    <w:tmpl w:val="2D2C50B6"/>
    <w:lvl w:ilvl="0" w:tplc="B002BC10">
      <w:start w:val="1"/>
      <w:numFmt w:val="bullet"/>
      <w:lvlText w:val="•"/>
      <w:lvlJc w:val="left"/>
      <w:pPr>
        <w:tabs>
          <w:tab w:val="num" w:pos="720"/>
        </w:tabs>
        <w:ind w:left="720" w:hanging="360"/>
      </w:pPr>
      <w:rPr>
        <w:rFonts w:ascii="Times New Roman" w:hAnsi="Times New Roman" w:hint="default"/>
      </w:rPr>
    </w:lvl>
    <w:lvl w:ilvl="1" w:tplc="38EAB6EE" w:tentative="1">
      <w:start w:val="1"/>
      <w:numFmt w:val="bullet"/>
      <w:lvlText w:val="•"/>
      <w:lvlJc w:val="left"/>
      <w:pPr>
        <w:tabs>
          <w:tab w:val="num" w:pos="1440"/>
        </w:tabs>
        <w:ind w:left="1440" w:hanging="360"/>
      </w:pPr>
      <w:rPr>
        <w:rFonts w:ascii="Times New Roman" w:hAnsi="Times New Roman" w:hint="default"/>
      </w:rPr>
    </w:lvl>
    <w:lvl w:ilvl="2" w:tplc="77F6A0B8" w:tentative="1">
      <w:start w:val="1"/>
      <w:numFmt w:val="bullet"/>
      <w:lvlText w:val="•"/>
      <w:lvlJc w:val="left"/>
      <w:pPr>
        <w:tabs>
          <w:tab w:val="num" w:pos="2160"/>
        </w:tabs>
        <w:ind w:left="2160" w:hanging="360"/>
      </w:pPr>
      <w:rPr>
        <w:rFonts w:ascii="Times New Roman" w:hAnsi="Times New Roman" w:hint="default"/>
      </w:rPr>
    </w:lvl>
    <w:lvl w:ilvl="3" w:tplc="2DB6EB40" w:tentative="1">
      <w:start w:val="1"/>
      <w:numFmt w:val="bullet"/>
      <w:lvlText w:val="•"/>
      <w:lvlJc w:val="left"/>
      <w:pPr>
        <w:tabs>
          <w:tab w:val="num" w:pos="2880"/>
        </w:tabs>
        <w:ind w:left="2880" w:hanging="360"/>
      </w:pPr>
      <w:rPr>
        <w:rFonts w:ascii="Times New Roman" w:hAnsi="Times New Roman" w:hint="default"/>
      </w:rPr>
    </w:lvl>
    <w:lvl w:ilvl="4" w:tplc="7B7A68F4" w:tentative="1">
      <w:start w:val="1"/>
      <w:numFmt w:val="bullet"/>
      <w:lvlText w:val="•"/>
      <w:lvlJc w:val="left"/>
      <w:pPr>
        <w:tabs>
          <w:tab w:val="num" w:pos="3600"/>
        </w:tabs>
        <w:ind w:left="3600" w:hanging="360"/>
      </w:pPr>
      <w:rPr>
        <w:rFonts w:ascii="Times New Roman" w:hAnsi="Times New Roman" w:hint="default"/>
      </w:rPr>
    </w:lvl>
    <w:lvl w:ilvl="5" w:tplc="F0046660" w:tentative="1">
      <w:start w:val="1"/>
      <w:numFmt w:val="bullet"/>
      <w:lvlText w:val="•"/>
      <w:lvlJc w:val="left"/>
      <w:pPr>
        <w:tabs>
          <w:tab w:val="num" w:pos="4320"/>
        </w:tabs>
        <w:ind w:left="4320" w:hanging="360"/>
      </w:pPr>
      <w:rPr>
        <w:rFonts w:ascii="Times New Roman" w:hAnsi="Times New Roman" w:hint="default"/>
      </w:rPr>
    </w:lvl>
    <w:lvl w:ilvl="6" w:tplc="D1B6E23A" w:tentative="1">
      <w:start w:val="1"/>
      <w:numFmt w:val="bullet"/>
      <w:lvlText w:val="•"/>
      <w:lvlJc w:val="left"/>
      <w:pPr>
        <w:tabs>
          <w:tab w:val="num" w:pos="5040"/>
        </w:tabs>
        <w:ind w:left="5040" w:hanging="360"/>
      </w:pPr>
      <w:rPr>
        <w:rFonts w:ascii="Times New Roman" w:hAnsi="Times New Roman" w:hint="default"/>
      </w:rPr>
    </w:lvl>
    <w:lvl w:ilvl="7" w:tplc="49C4605E" w:tentative="1">
      <w:start w:val="1"/>
      <w:numFmt w:val="bullet"/>
      <w:lvlText w:val="•"/>
      <w:lvlJc w:val="left"/>
      <w:pPr>
        <w:tabs>
          <w:tab w:val="num" w:pos="5760"/>
        </w:tabs>
        <w:ind w:left="5760" w:hanging="360"/>
      </w:pPr>
      <w:rPr>
        <w:rFonts w:ascii="Times New Roman" w:hAnsi="Times New Roman" w:hint="default"/>
      </w:rPr>
    </w:lvl>
    <w:lvl w:ilvl="8" w:tplc="7FC292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2FB39E8"/>
    <w:multiLevelType w:val="hybridMultilevel"/>
    <w:tmpl w:val="D60C192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6205734"/>
    <w:multiLevelType w:val="hybridMultilevel"/>
    <w:tmpl w:val="18DAC2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8443910"/>
    <w:multiLevelType w:val="hybridMultilevel"/>
    <w:tmpl w:val="D376F920"/>
    <w:lvl w:ilvl="0" w:tplc="F4A60ADA">
      <w:start w:val="1"/>
      <w:numFmt w:val="bullet"/>
      <w:lvlText w:val="•"/>
      <w:lvlJc w:val="left"/>
      <w:pPr>
        <w:tabs>
          <w:tab w:val="num" w:pos="720"/>
        </w:tabs>
        <w:ind w:left="720" w:hanging="360"/>
      </w:pPr>
      <w:rPr>
        <w:rFonts w:ascii="Times New Roman" w:hAnsi="Times New Roman" w:hint="default"/>
      </w:rPr>
    </w:lvl>
    <w:lvl w:ilvl="1" w:tplc="937A3F96" w:tentative="1">
      <w:start w:val="1"/>
      <w:numFmt w:val="bullet"/>
      <w:lvlText w:val="•"/>
      <w:lvlJc w:val="left"/>
      <w:pPr>
        <w:tabs>
          <w:tab w:val="num" w:pos="1440"/>
        </w:tabs>
        <w:ind w:left="1440" w:hanging="360"/>
      </w:pPr>
      <w:rPr>
        <w:rFonts w:ascii="Times New Roman" w:hAnsi="Times New Roman" w:hint="default"/>
      </w:rPr>
    </w:lvl>
    <w:lvl w:ilvl="2" w:tplc="E4008DD2" w:tentative="1">
      <w:start w:val="1"/>
      <w:numFmt w:val="bullet"/>
      <w:lvlText w:val="•"/>
      <w:lvlJc w:val="left"/>
      <w:pPr>
        <w:tabs>
          <w:tab w:val="num" w:pos="2160"/>
        </w:tabs>
        <w:ind w:left="2160" w:hanging="360"/>
      </w:pPr>
      <w:rPr>
        <w:rFonts w:ascii="Times New Roman" w:hAnsi="Times New Roman" w:hint="default"/>
      </w:rPr>
    </w:lvl>
    <w:lvl w:ilvl="3" w:tplc="57142BFE" w:tentative="1">
      <w:start w:val="1"/>
      <w:numFmt w:val="bullet"/>
      <w:lvlText w:val="•"/>
      <w:lvlJc w:val="left"/>
      <w:pPr>
        <w:tabs>
          <w:tab w:val="num" w:pos="2880"/>
        </w:tabs>
        <w:ind w:left="2880" w:hanging="360"/>
      </w:pPr>
      <w:rPr>
        <w:rFonts w:ascii="Times New Roman" w:hAnsi="Times New Roman" w:hint="default"/>
      </w:rPr>
    </w:lvl>
    <w:lvl w:ilvl="4" w:tplc="F67239CC" w:tentative="1">
      <w:start w:val="1"/>
      <w:numFmt w:val="bullet"/>
      <w:lvlText w:val="•"/>
      <w:lvlJc w:val="left"/>
      <w:pPr>
        <w:tabs>
          <w:tab w:val="num" w:pos="3600"/>
        </w:tabs>
        <w:ind w:left="3600" w:hanging="360"/>
      </w:pPr>
      <w:rPr>
        <w:rFonts w:ascii="Times New Roman" w:hAnsi="Times New Roman" w:hint="default"/>
      </w:rPr>
    </w:lvl>
    <w:lvl w:ilvl="5" w:tplc="958EFF3E" w:tentative="1">
      <w:start w:val="1"/>
      <w:numFmt w:val="bullet"/>
      <w:lvlText w:val="•"/>
      <w:lvlJc w:val="left"/>
      <w:pPr>
        <w:tabs>
          <w:tab w:val="num" w:pos="4320"/>
        </w:tabs>
        <w:ind w:left="4320" w:hanging="360"/>
      </w:pPr>
      <w:rPr>
        <w:rFonts w:ascii="Times New Roman" w:hAnsi="Times New Roman" w:hint="default"/>
      </w:rPr>
    </w:lvl>
    <w:lvl w:ilvl="6" w:tplc="82B4919A" w:tentative="1">
      <w:start w:val="1"/>
      <w:numFmt w:val="bullet"/>
      <w:lvlText w:val="•"/>
      <w:lvlJc w:val="left"/>
      <w:pPr>
        <w:tabs>
          <w:tab w:val="num" w:pos="5040"/>
        </w:tabs>
        <w:ind w:left="5040" w:hanging="360"/>
      </w:pPr>
      <w:rPr>
        <w:rFonts w:ascii="Times New Roman" w:hAnsi="Times New Roman" w:hint="default"/>
      </w:rPr>
    </w:lvl>
    <w:lvl w:ilvl="7" w:tplc="4B44DC24" w:tentative="1">
      <w:start w:val="1"/>
      <w:numFmt w:val="bullet"/>
      <w:lvlText w:val="•"/>
      <w:lvlJc w:val="left"/>
      <w:pPr>
        <w:tabs>
          <w:tab w:val="num" w:pos="5760"/>
        </w:tabs>
        <w:ind w:left="5760" w:hanging="360"/>
      </w:pPr>
      <w:rPr>
        <w:rFonts w:ascii="Times New Roman" w:hAnsi="Times New Roman" w:hint="default"/>
      </w:rPr>
    </w:lvl>
    <w:lvl w:ilvl="8" w:tplc="D6A6499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93316D6"/>
    <w:multiLevelType w:val="hybridMultilevel"/>
    <w:tmpl w:val="2220A118"/>
    <w:lvl w:ilvl="0" w:tplc="3A540DF8">
      <w:start w:val="1"/>
      <w:numFmt w:val="decimal"/>
      <w:lvlText w:val="%1."/>
      <w:lvlJc w:val="left"/>
      <w:pPr>
        <w:ind w:left="1068" w:hanging="360"/>
      </w:pPr>
      <w:rPr>
        <w:rFonts w:eastAsia="Times New Roman"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7" w15:restartNumberingAfterBreak="0">
    <w:nsid w:val="69605F3C"/>
    <w:multiLevelType w:val="hybridMultilevel"/>
    <w:tmpl w:val="B2920A8E"/>
    <w:lvl w:ilvl="0" w:tplc="635AC974">
      <w:start w:val="1"/>
      <w:numFmt w:val="bullet"/>
      <w:lvlText w:val="•"/>
      <w:lvlJc w:val="left"/>
      <w:pPr>
        <w:tabs>
          <w:tab w:val="num" w:pos="720"/>
        </w:tabs>
        <w:ind w:left="720" w:hanging="360"/>
      </w:pPr>
      <w:rPr>
        <w:rFonts w:ascii="Times New Roman" w:hAnsi="Times New Roman" w:hint="default"/>
      </w:rPr>
    </w:lvl>
    <w:lvl w:ilvl="1" w:tplc="F7C83D9C" w:tentative="1">
      <w:start w:val="1"/>
      <w:numFmt w:val="bullet"/>
      <w:lvlText w:val="•"/>
      <w:lvlJc w:val="left"/>
      <w:pPr>
        <w:tabs>
          <w:tab w:val="num" w:pos="1440"/>
        </w:tabs>
        <w:ind w:left="1440" w:hanging="360"/>
      </w:pPr>
      <w:rPr>
        <w:rFonts w:ascii="Times New Roman" w:hAnsi="Times New Roman" w:hint="default"/>
      </w:rPr>
    </w:lvl>
    <w:lvl w:ilvl="2" w:tplc="0FB28C0A" w:tentative="1">
      <w:start w:val="1"/>
      <w:numFmt w:val="bullet"/>
      <w:lvlText w:val="•"/>
      <w:lvlJc w:val="left"/>
      <w:pPr>
        <w:tabs>
          <w:tab w:val="num" w:pos="2160"/>
        </w:tabs>
        <w:ind w:left="2160" w:hanging="360"/>
      </w:pPr>
      <w:rPr>
        <w:rFonts w:ascii="Times New Roman" w:hAnsi="Times New Roman" w:hint="default"/>
      </w:rPr>
    </w:lvl>
    <w:lvl w:ilvl="3" w:tplc="DB5C08AA" w:tentative="1">
      <w:start w:val="1"/>
      <w:numFmt w:val="bullet"/>
      <w:lvlText w:val="•"/>
      <w:lvlJc w:val="left"/>
      <w:pPr>
        <w:tabs>
          <w:tab w:val="num" w:pos="2880"/>
        </w:tabs>
        <w:ind w:left="2880" w:hanging="360"/>
      </w:pPr>
      <w:rPr>
        <w:rFonts w:ascii="Times New Roman" w:hAnsi="Times New Roman" w:hint="default"/>
      </w:rPr>
    </w:lvl>
    <w:lvl w:ilvl="4" w:tplc="B196332A" w:tentative="1">
      <w:start w:val="1"/>
      <w:numFmt w:val="bullet"/>
      <w:lvlText w:val="•"/>
      <w:lvlJc w:val="left"/>
      <w:pPr>
        <w:tabs>
          <w:tab w:val="num" w:pos="3600"/>
        </w:tabs>
        <w:ind w:left="3600" w:hanging="360"/>
      </w:pPr>
      <w:rPr>
        <w:rFonts w:ascii="Times New Roman" w:hAnsi="Times New Roman" w:hint="default"/>
      </w:rPr>
    </w:lvl>
    <w:lvl w:ilvl="5" w:tplc="3E746110" w:tentative="1">
      <w:start w:val="1"/>
      <w:numFmt w:val="bullet"/>
      <w:lvlText w:val="•"/>
      <w:lvlJc w:val="left"/>
      <w:pPr>
        <w:tabs>
          <w:tab w:val="num" w:pos="4320"/>
        </w:tabs>
        <w:ind w:left="4320" w:hanging="360"/>
      </w:pPr>
      <w:rPr>
        <w:rFonts w:ascii="Times New Roman" w:hAnsi="Times New Roman" w:hint="default"/>
      </w:rPr>
    </w:lvl>
    <w:lvl w:ilvl="6" w:tplc="2ADA5982" w:tentative="1">
      <w:start w:val="1"/>
      <w:numFmt w:val="bullet"/>
      <w:lvlText w:val="•"/>
      <w:lvlJc w:val="left"/>
      <w:pPr>
        <w:tabs>
          <w:tab w:val="num" w:pos="5040"/>
        </w:tabs>
        <w:ind w:left="5040" w:hanging="360"/>
      </w:pPr>
      <w:rPr>
        <w:rFonts w:ascii="Times New Roman" w:hAnsi="Times New Roman" w:hint="default"/>
      </w:rPr>
    </w:lvl>
    <w:lvl w:ilvl="7" w:tplc="3888369E" w:tentative="1">
      <w:start w:val="1"/>
      <w:numFmt w:val="bullet"/>
      <w:lvlText w:val="•"/>
      <w:lvlJc w:val="left"/>
      <w:pPr>
        <w:tabs>
          <w:tab w:val="num" w:pos="5760"/>
        </w:tabs>
        <w:ind w:left="5760" w:hanging="360"/>
      </w:pPr>
      <w:rPr>
        <w:rFonts w:ascii="Times New Roman" w:hAnsi="Times New Roman" w:hint="default"/>
      </w:rPr>
    </w:lvl>
    <w:lvl w:ilvl="8" w:tplc="CF884EB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EBD17B2"/>
    <w:multiLevelType w:val="hybridMultilevel"/>
    <w:tmpl w:val="834C77BA"/>
    <w:lvl w:ilvl="0" w:tplc="7F58BA34">
      <w:start w:val="1"/>
      <w:numFmt w:val="bullet"/>
      <w:lvlText w:val="•"/>
      <w:lvlJc w:val="left"/>
      <w:pPr>
        <w:tabs>
          <w:tab w:val="num" w:pos="720"/>
        </w:tabs>
        <w:ind w:left="720" w:hanging="360"/>
      </w:pPr>
      <w:rPr>
        <w:rFonts w:ascii="Times New Roman" w:hAnsi="Times New Roman" w:hint="default"/>
      </w:rPr>
    </w:lvl>
    <w:lvl w:ilvl="1" w:tplc="D8EA2900" w:tentative="1">
      <w:start w:val="1"/>
      <w:numFmt w:val="bullet"/>
      <w:lvlText w:val="•"/>
      <w:lvlJc w:val="left"/>
      <w:pPr>
        <w:tabs>
          <w:tab w:val="num" w:pos="1440"/>
        </w:tabs>
        <w:ind w:left="1440" w:hanging="360"/>
      </w:pPr>
      <w:rPr>
        <w:rFonts w:ascii="Times New Roman" w:hAnsi="Times New Roman" w:hint="default"/>
      </w:rPr>
    </w:lvl>
    <w:lvl w:ilvl="2" w:tplc="5A3646E2" w:tentative="1">
      <w:start w:val="1"/>
      <w:numFmt w:val="bullet"/>
      <w:lvlText w:val="•"/>
      <w:lvlJc w:val="left"/>
      <w:pPr>
        <w:tabs>
          <w:tab w:val="num" w:pos="2160"/>
        </w:tabs>
        <w:ind w:left="2160" w:hanging="360"/>
      </w:pPr>
      <w:rPr>
        <w:rFonts w:ascii="Times New Roman" w:hAnsi="Times New Roman" w:hint="default"/>
      </w:rPr>
    </w:lvl>
    <w:lvl w:ilvl="3" w:tplc="A28EC484" w:tentative="1">
      <w:start w:val="1"/>
      <w:numFmt w:val="bullet"/>
      <w:lvlText w:val="•"/>
      <w:lvlJc w:val="left"/>
      <w:pPr>
        <w:tabs>
          <w:tab w:val="num" w:pos="2880"/>
        </w:tabs>
        <w:ind w:left="2880" w:hanging="360"/>
      </w:pPr>
      <w:rPr>
        <w:rFonts w:ascii="Times New Roman" w:hAnsi="Times New Roman" w:hint="default"/>
      </w:rPr>
    </w:lvl>
    <w:lvl w:ilvl="4" w:tplc="AA58819A" w:tentative="1">
      <w:start w:val="1"/>
      <w:numFmt w:val="bullet"/>
      <w:lvlText w:val="•"/>
      <w:lvlJc w:val="left"/>
      <w:pPr>
        <w:tabs>
          <w:tab w:val="num" w:pos="3600"/>
        </w:tabs>
        <w:ind w:left="3600" w:hanging="360"/>
      </w:pPr>
      <w:rPr>
        <w:rFonts w:ascii="Times New Roman" w:hAnsi="Times New Roman" w:hint="default"/>
      </w:rPr>
    </w:lvl>
    <w:lvl w:ilvl="5" w:tplc="6FD6F670" w:tentative="1">
      <w:start w:val="1"/>
      <w:numFmt w:val="bullet"/>
      <w:lvlText w:val="•"/>
      <w:lvlJc w:val="left"/>
      <w:pPr>
        <w:tabs>
          <w:tab w:val="num" w:pos="4320"/>
        </w:tabs>
        <w:ind w:left="4320" w:hanging="360"/>
      </w:pPr>
      <w:rPr>
        <w:rFonts w:ascii="Times New Roman" w:hAnsi="Times New Roman" w:hint="default"/>
      </w:rPr>
    </w:lvl>
    <w:lvl w:ilvl="6" w:tplc="DF82FF5C" w:tentative="1">
      <w:start w:val="1"/>
      <w:numFmt w:val="bullet"/>
      <w:lvlText w:val="•"/>
      <w:lvlJc w:val="left"/>
      <w:pPr>
        <w:tabs>
          <w:tab w:val="num" w:pos="5040"/>
        </w:tabs>
        <w:ind w:left="5040" w:hanging="360"/>
      </w:pPr>
      <w:rPr>
        <w:rFonts w:ascii="Times New Roman" w:hAnsi="Times New Roman" w:hint="default"/>
      </w:rPr>
    </w:lvl>
    <w:lvl w:ilvl="7" w:tplc="1B16995A" w:tentative="1">
      <w:start w:val="1"/>
      <w:numFmt w:val="bullet"/>
      <w:lvlText w:val="•"/>
      <w:lvlJc w:val="left"/>
      <w:pPr>
        <w:tabs>
          <w:tab w:val="num" w:pos="5760"/>
        </w:tabs>
        <w:ind w:left="5760" w:hanging="360"/>
      </w:pPr>
      <w:rPr>
        <w:rFonts w:ascii="Times New Roman" w:hAnsi="Times New Roman" w:hint="default"/>
      </w:rPr>
    </w:lvl>
    <w:lvl w:ilvl="8" w:tplc="B55620C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5A7C67"/>
    <w:multiLevelType w:val="hybridMultilevel"/>
    <w:tmpl w:val="E012BB2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88C54E4"/>
    <w:multiLevelType w:val="hybridMultilevel"/>
    <w:tmpl w:val="E856DE3A"/>
    <w:lvl w:ilvl="0" w:tplc="D460049E">
      <w:start w:val="1"/>
      <w:numFmt w:val="bullet"/>
      <w:lvlText w:val="•"/>
      <w:lvlJc w:val="left"/>
      <w:pPr>
        <w:tabs>
          <w:tab w:val="num" w:pos="720"/>
        </w:tabs>
        <w:ind w:left="720" w:hanging="360"/>
      </w:pPr>
      <w:rPr>
        <w:rFonts w:ascii="Times New Roman" w:hAnsi="Times New Roman" w:hint="default"/>
      </w:rPr>
    </w:lvl>
    <w:lvl w:ilvl="1" w:tplc="5C22DD56" w:tentative="1">
      <w:start w:val="1"/>
      <w:numFmt w:val="bullet"/>
      <w:lvlText w:val="•"/>
      <w:lvlJc w:val="left"/>
      <w:pPr>
        <w:tabs>
          <w:tab w:val="num" w:pos="1440"/>
        </w:tabs>
        <w:ind w:left="1440" w:hanging="360"/>
      </w:pPr>
      <w:rPr>
        <w:rFonts w:ascii="Times New Roman" w:hAnsi="Times New Roman" w:hint="default"/>
      </w:rPr>
    </w:lvl>
    <w:lvl w:ilvl="2" w:tplc="AA4A700A" w:tentative="1">
      <w:start w:val="1"/>
      <w:numFmt w:val="bullet"/>
      <w:lvlText w:val="•"/>
      <w:lvlJc w:val="left"/>
      <w:pPr>
        <w:tabs>
          <w:tab w:val="num" w:pos="2160"/>
        </w:tabs>
        <w:ind w:left="2160" w:hanging="360"/>
      </w:pPr>
      <w:rPr>
        <w:rFonts w:ascii="Times New Roman" w:hAnsi="Times New Roman" w:hint="default"/>
      </w:rPr>
    </w:lvl>
    <w:lvl w:ilvl="3" w:tplc="9E6C088A" w:tentative="1">
      <w:start w:val="1"/>
      <w:numFmt w:val="bullet"/>
      <w:lvlText w:val="•"/>
      <w:lvlJc w:val="left"/>
      <w:pPr>
        <w:tabs>
          <w:tab w:val="num" w:pos="2880"/>
        </w:tabs>
        <w:ind w:left="2880" w:hanging="360"/>
      </w:pPr>
      <w:rPr>
        <w:rFonts w:ascii="Times New Roman" w:hAnsi="Times New Roman" w:hint="default"/>
      </w:rPr>
    </w:lvl>
    <w:lvl w:ilvl="4" w:tplc="F594D6D2" w:tentative="1">
      <w:start w:val="1"/>
      <w:numFmt w:val="bullet"/>
      <w:lvlText w:val="•"/>
      <w:lvlJc w:val="left"/>
      <w:pPr>
        <w:tabs>
          <w:tab w:val="num" w:pos="3600"/>
        </w:tabs>
        <w:ind w:left="3600" w:hanging="360"/>
      </w:pPr>
      <w:rPr>
        <w:rFonts w:ascii="Times New Roman" w:hAnsi="Times New Roman" w:hint="default"/>
      </w:rPr>
    </w:lvl>
    <w:lvl w:ilvl="5" w:tplc="B5D09CEC" w:tentative="1">
      <w:start w:val="1"/>
      <w:numFmt w:val="bullet"/>
      <w:lvlText w:val="•"/>
      <w:lvlJc w:val="left"/>
      <w:pPr>
        <w:tabs>
          <w:tab w:val="num" w:pos="4320"/>
        </w:tabs>
        <w:ind w:left="4320" w:hanging="360"/>
      </w:pPr>
      <w:rPr>
        <w:rFonts w:ascii="Times New Roman" w:hAnsi="Times New Roman" w:hint="default"/>
      </w:rPr>
    </w:lvl>
    <w:lvl w:ilvl="6" w:tplc="AFC0DB24" w:tentative="1">
      <w:start w:val="1"/>
      <w:numFmt w:val="bullet"/>
      <w:lvlText w:val="•"/>
      <w:lvlJc w:val="left"/>
      <w:pPr>
        <w:tabs>
          <w:tab w:val="num" w:pos="5040"/>
        </w:tabs>
        <w:ind w:left="5040" w:hanging="360"/>
      </w:pPr>
      <w:rPr>
        <w:rFonts w:ascii="Times New Roman" w:hAnsi="Times New Roman" w:hint="default"/>
      </w:rPr>
    </w:lvl>
    <w:lvl w:ilvl="7" w:tplc="A7E46744" w:tentative="1">
      <w:start w:val="1"/>
      <w:numFmt w:val="bullet"/>
      <w:lvlText w:val="•"/>
      <w:lvlJc w:val="left"/>
      <w:pPr>
        <w:tabs>
          <w:tab w:val="num" w:pos="5760"/>
        </w:tabs>
        <w:ind w:left="5760" w:hanging="360"/>
      </w:pPr>
      <w:rPr>
        <w:rFonts w:ascii="Times New Roman" w:hAnsi="Times New Roman" w:hint="default"/>
      </w:rPr>
    </w:lvl>
    <w:lvl w:ilvl="8" w:tplc="1A1C1D68" w:tentative="1">
      <w:start w:val="1"/>
      <w:numFmt w:val="bullet"/>
      <w:lvlText w:val="•"/>
      <w:lvlJc w:val="left"/>
      <w:pPr>
        <w:tabs>
          <w:tab w:val="num" w:pos="6480"/>
        </w:tabs>
        <w:ind w:left="6480" w:hanging="360"/>
      </w:pPr>
      <w:rPr>
        <w:rFonts w:ascii="Times New Roman" w:hAnsi="Times New Roman" w:hint="default"/>
      </w:rPr>
    </w:lvl>
  </w:abstractNum>
  <w:num w:numId="1" w16cid:durableId="495387954">
    <w:abstractNumId w:val="19"/>
  </w:num>
  <w:num w:numId="2" w16cid:durableId="994072908">
    <w:abstractNumId w:val="14"/>
  </w:num>
  <w:num w:numId="3" w16cid:durableId="2067484677">
    <w:abstractNumId w:val="1"/>
  </w:num>
  <w:num w:numId="4" w16cid:durableId="1073506895">
    <w:abstractNumId w:val="18"/>
  </w:num>
  <w:num w:numId="5" w16cid:durableId="638926044">
    <w:abstractNumId w:val="6"/>
  </w:num>
  <w:num w:numId="6" w16cid:durableId="124784459">
    <w:abstractNumId w:val="9"/>
  </w:num>
  <w:num w:numId="7" w16cid:durableId="802774702">
    <w:abstractNumId w:val="20"/>
  </w:num>
  <w:num w:numId="8" w16cid:durableId="726345219">
    <w:abstractNumId w:val="12"/>
  </w:num>
  <w:num w:numId="9" w16cid:durableId="1911882248">
    <w:abstractNumId w:val="3"/>
  </w:num>
  <w:num w:numId="10" w16cid:durableId="89470714">
    <w:abstractNumId w:val="15"/>
  </w:num>
  <w:num w:numId="11" w16cid:durableId="1411586942">
    <w:abstractNumId w:val="13"/>
  </w:num>
  <w:num w:numId="12" w16cid:durableId="812648535">
    <w:abstractNumId w:val="16"/>
  </w:num>
  <w:num w:numId="13" w16cid:durableId="732312985">
    <w:abstractNumId w:val="17"/>
  </w:num>
  <w:num w:numId="14" w16cid:durableId="1540044189">
    <w:abstractNumId w:val="11"/>
  </w:num>
  <w:num w:numId="15" w16cid:durableId="519667179">
    <w:abstractNumId w:val="8"/>
  </w:num>
  <w:num w:numId="16" w16cid:durableId="955020706">
    <w:abstractNumId w:val="0"/>
  </w:num>
  <w:num w:numId="17" w16cid:durableId="901672346">
    <w:abstractNumId w:val="7"/>
  </w:num>
  <w:num w:numId="18" w16cid:durableId="823397257">
    <w:abstractNumId w:val="4"/>
  </w:num>
  <w:num w:numId="19" w16cid:durableId="1318655503">
    <w:abstractNumId w:val="2"/>
  </w:num>
  <w:num w:numId="20" w16cid:durableId="1132597745">
    <w:abstractNumId w:val="10"/>
  </w:num>
  <w:num w:numId="21" w16cid:durableId="766192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E"/>
    <w:rsid w:val="00001E37"/>
    <w:rsid w:val="00007332"/>
    <w:rsid w:val="000118C7"/>
    <w:rsid w:val="000130B4"/>
    <w:rsid w:val="00014A2A"/>
    <w:rsid w:val="00021060"/>
    <w:rsid w:val="00025642"/>
    <w:rsid w:val="000273C7"/>
    <w:rsid w:val="00031703"/>
    <w:rsid w:val="0003241E"/>
    <w:rsid w:val="0003363C"/>
    <w:rsid w:val="000346D0"/>
    <w:rsid w:val="00034CC5"/>
    <w:rsid w:val="000368E8"/>
    <w:rsid w:val="000378D6"/>
    <w:rsid w:val="0004095D"/>
    <w:rsid w:val="00041968"/>
    <w:rsid w:val="00044558"/>
    <w:rsid w:val="0005268C"/>
    <w:rsid w:val="00055645"/>
    <w:rsid w:val="00057127"/>
    <w:rsid w:val="00065B84"/>
    <w:rsid w:val="00066D63"/>
    <w:rsid w:val="00070C41"/>
    <w:rsid w:val="000721AD"/>
    <w:rsid w:val="00077137"/>
    <w:rsid w:val="0007721E"/>
    <w:rsid w:val="00077932"/>
    <w:rsid w:val="00077E44"/>
    <w:rsid w:val="00080A95"/>
    <w:rsid w:val="00081A0C"/>
    <w:rsid w:val="00083BFC"/>
    <w:rsid w:val="00084AE7"/>
    <w:rsid w:val="00085041"/>
    <w:rsid w:val="0009085E"/>
    <w:rsid w:val="000916EC"/>
    <w:rsid w:val="000B002D"/>
    <w:rsid w:val="000B05AF"/>
    <w:rsid w:val="000B0DEF"/>
    <w:rsid w:val="000B2147"/>
    <w:rsid w:val="000B4A41"/>
    <w:rsid w:val="000C0291"/>
    <w:rsid w:val="000C3891"/>
    <w:rsid w:val="000C67B2"/>
    <w:rsid w:val="000C7223"/>
    <w:rsid w:val="000C7420"/>
    <w:rsid w:val="000D1B8B"/>
    <w:rsid w:val="000D3F02"/>
    <w:rsid w:val="000D4383"/>
    <w:rsid w:val="000D597D"/>
    <w:rsid w:val="000D7336"/>
    <w:rsid w:val="000D7B82"/>
    <w:rsid w:val="000E0A6F"/>
    <w:rsid w:val="000E621B"/>
    <w:rsid w:val="000F519D"/>
    <w:rsid w:val="001014AA"/>
    <w:rsid w:val="001033B4"/>
    <w:rsid w:val="00105725"/>
    <w:rsid w:val="00113926"/>
    <w:rsid w:val="00116D19"/>
    <w:rsid w:val="001213E5"/>
    <w:rsid w:val="0012265C"/>
    <w:rsid w:val="0012584D"/>
    <w:rsid w:val="00125DD5"/>
    <w:rsid w:val="00126495"/>
    <w:rsid w:val="001306E1"/>
    <w:rsid w:val="001314D5"/>
    <w:rsid w:val="00132BB2"/>
    <w:rsid w:val="00135A7B"/>
    <w:rsid w:val="001362E7"/>
    <w:rsid w:val="00137692"/>
    <w:rsid w:val="00140627"/>
    <w:rsid w:val="0014527C"/>
    <w:rsid w:val="001467F9"/>
    <w:rsid w:val="001500BA"/>
    <w:rsid w:val="00156014"/>
    <w:rsid w:val="0015659E"/>
    <w:rsid w:val="0016094F"/>
    <w:rsid w:val="0016109D"/>
    <w:rsid w:val="001639E9"/>
    <w:rsid w:val="00170D4C"/>
    <w:rsid w:val="001725E7"/>
    <w:rsid w:val="00172790"/>
    <w:rsid w:val="00177459"/>
    <w:rsid w:val="001779BF"/>
    <w:rsid w:val="00185612"/>
    <w:rsid w:val="00185891"/>
    <w:rsid w:val="00185A22"/>
    <w:rsid w:val="00191707"/>
    <w:rsid w:val="00192133"/>
    <w:rsid w:val="00195246"/>
    <w:rsid w:val="00195606"/>
    <w:rsid w:val="001A3D21"/>
    <w:rsid w:val="001A3E00"/>
    <w:rsid w:val="001A4E50"/>
    <w:rsid w:val="001A605E"/>
    <w:rsid w:val="001B03E3"/>
    <w:rsid w:val="001B6C54"/>
    <w:rsid w:val="001C326A"/>
    <w:rsid w:val="001C37FF"/>
    <w:rsid w:val="001C5541"/>
    <w:rsid w:val="001C68AF"/>
    <w:rsid w:val="001D105D"/>
    <w:rsid w:val="001D124E"/>
    <w:rsid w:val="001D2099"/>
    <w:rsid w:val="001D68B7"/>
    <w:rsid w:val="001D6DAA"/>
    <w:rsid w:val="001D7873"/>
    <w:rsid w:val="001E08CD"/>
    <w:rsid w:val="001E11BE"/>
    <w:rsid w:val="001E12A1"/>
    <w:rsid w:val="001E42B0"/>
    <w:rsid w:val="001E6724"/>
    <w:rsid w:val="001E72C0"/>
    <w:rsid w:val="001F314D"/>
    <w:rsid w:val="001F43DA"/>
    <w:rsid w:val="00200803"/>
    <w:rsid w:val="002030C9"/>
    <w:rsid w:val="00203BA7"/>
    <w:rsid w:val="00205116"/>
    <w:rsid w:val="00216A49"/>
    <w:rsid w:val="00217F45"/>
    <w:rsid w:val="002232C2"/>
    <w:rsid w:val="00226F68"/>
    <w:rsid w:val="00230D79"/>
    <w:rsid w:val="00232B41"/>
    <w:rsid w:val="00243501"/>
    <w:rsid w:val="00253AA4"/>
    <w:rsid w:val="00262B19"/>
    <w:rsid w:val="0026363D"/>
    <w:rsid w:val="00264497"/>
    <w:rsid w:val="0026546F"/>
    <w:rsid w:val="00267C91"/>
    <w:rsid w:val="00275473"/>
    <w:rsid w:val="00277B45"/>
    <w:rsid w:val="00282C88"/>
    <w:rsid w:val="0028418B"/>
    <w:rsid w:val="00284AB7"/>
    <w:rsid w:val="002851D1"/>
    <w:rsid w:val="0029513E"/>
    <w:rsid w:val="002A16EA"/>
    <w:rsid w:val="002A3368"/>
    <w:rsid w:val="002A3BA9"/>
    <w:rsid w:val="002B0727"/>
    <w:rsid w:val="002B13AF"/>
    <w:rsid w:val="002B1410"/>
    <w:rsid w:val="002B33EE"/>
    <w:rsid w:val="002B5DC2"/>
    <w:rsid w:val="002B7454"/>
    <w:rsid w:val="002C081E"/>
    <w:rsid w:val="002C67AC"/>
    <w:rsid w:val="002D190E"/>
    <w:rsid w:val="002D3E72"/>
    <w:rsid w:val="002D5BC9"/>
    <w:rsid w:val="002D5BDD"/>
    <w:rsid w:val="002D7A21"/>
    <w:rsid w:val="002E0B54"/>
    <w:rsid w:val="002E2C00"/>
    <w:rsid w:val="002E33C0"/>
    <w:rsid w:val="002E646F"/>
    <w:rsid w:val="002E7A29"/>
    <w:rsid w:val="002E7C6F"/>
    <w:rsid w:val="002F1B36"/>
    <w:rsid w:val="002F5DFB"/>
    <w:rsid w:val="003009B2"/>
    <w:rsid w:val="0030124D"/>
    <w:rsid w:val="00301D0F"/>
    <w:rsid w:val="003047CF"/>
    <w:rsid w:val="00314226"/>
    <w:rsid w:val="00323EAA"/>
    <w:rsid w:val="0032760E"/>
    <w:rsid w:val="00327D12"/>
    <w:rsid w:val="00330A73"/>
    <w:rsid w:val="003331ED"/>
    <w:rsid w:val="00334F62"/>
    <w:rsid w:val="00335784"/>
    <w:rsid w:val="003376C5"/>
    <w:rsid w:val="00341B07"/>
    <w:rsid w:val="00342B23"/>
    <w:rsid w:val="00343904"/>
    <w:rsid w:val="00344D1E"/>
    <w:rsid w:val="003504F4"/>
    <w:rsid w:val="003538BF"/>
    <w:rsid w:val="00353A86"/>
    <w:rsid w:val="00354012"/>
    <w:rsid w:val="003555E1"/>
    <w:rsid w:val="00356356"/>
    <w:rsid w:val="0035662B"/>
    <w:rsid w:val="00357322"/>
    <w:rsid w:val="00360DB0"/>
    <w:rsid w:val="00362231"/>
    <w:rsid w:val="003629D6"/>
    <w:rsid w:val="00374A24"/>
    <w:rsid w:val="0037546B"/>
    <w:rsid w:val="003758C7"/>
    <w:rsid w:val="003804AE"/>
    <w:rsid w:val="0038331C"/>
    <w:rsid w:val="003863EF"/>
    <w:rsid w:val="003874F8"/>
    <w:rsid w:val="00394686"/>
    <w:rsid w:val="003A01D8"/>
    <w:rsid w:val="003A0E0E"/>
    <w:rsid w:val="003A20BF"/>
    <w:rsid w:val="003A2C89"/>
    <w:rsid w:val="003A41C9"/>
    <w:rsid w:val="003A43E5"/>
    <w:rsid w:val="003A72E3"/>
    <w:rsid w:val="003A7E20"/>
    <w:rsid w:val="003B28C5"/>
    <w:rsid w:val="003B3475"/>
    <w:rsid w:val="003B379D"/>
    <w:rsid w:val="003B3B79"/>
    <w:rsid w:val="003B7296"/>
    <w:rsid w:val="003C0B15"/>
    <w:rsid w:val="003C2735"/>
    <w:rsid w:val="003C4B96"/>
    <w:rsid w:val="003C74FE"/>
    <w:rsid w:val="003D0466"/>
    <w:rsid w:val="003D110B"/>
    <w:rsid w:val="003D42B4"/>
    <w:rsid w:val="003E1A42"/>
    <w:rsid w:val="003E30DC"/>
    <w:rsid w:val="003E3582"/>
    <w:rsid w:val="003E6CBB"/>
    <w:rsid w:val="003E704E"/>
    <w:rsid w:val="003E7FE5"/>
    <w:rsid w:val="003F05C3"/>
    <w:rsid w:val="003F5B96"/>
    <w:rsid w:val="003F68E7"/>
    <w:rsid w:val="003F79EC"/>
    <w:rsid w:val="004029E6"/>
    <w:rsid w:val="00402DB7"/>
    <w:rsid w:val="00404F84"/>
    <w:rsid w:val="004054F1"/>
    <w:rsid w:val="00405E00"/>
    <w:rsid w:val="0040603E"/>
    <w:rsid w:val="00406E62"/>
    <w:rsid w:val="0041030E"/>
    <w:rsid w:val="00412B8A"/>
    <w:rsid w:val="00414A69"/>
    <w:rsid w:val="004169F5"/>
    <w:rsid w:val="00417A6F"/>
    <w:rsid w:val="00422217"/>
    <w:rsid w:val="00423419"/>
    <w:rsid w:val="00424DFE"/>
    <w:rsid w:val="00425E2D"/>
    <w:rsid w:val="00431545"/>
    <w:rsid w:val="0043169A"/>
    <w:rsid w:val="00431B21"/>
    <w:rsid w:val="00431F9D"/>
    <w:rsid w:val="004356FE"/>
    <w:rsid w:val="004400B9"/>
    <w:rsid w:val="004404A4"/>
    <w:rsid w:val="004413A8"/>
    <w:rsid w:val="00444BED"/>
    <w:rsid w:val="004478B1"/>
    <w:rsid w:val="00447C08"/>
    <w:rsid w:val="0045152E"/>
    <w:rsid w:val="004541A0"/>
    <w:rsid w:val="00455C7D"/>
    <w:rsid w:val="00461951"/>
    <w:rsid w:val="00462D65"/>
    <w:rsid w:val="004666DA"/>
    <w:rsid w:val="00467214"/>
    <w:rsid w:val="00474AF2"/>
    <w:rsid w:val="00481BE3"/>
    <w:rsid w:val="004835A8"/>
    <w:rsid w:val="00483BC7"/>
    <w:rsid w:val="004846BC"/>
    <w:rsid w:val="00486F5E"/>
    <w:rsid w:val="00487418"/>
    <w:rsid w:val="0049275E"/>
    <w:rsid w:val="00494735"/>
    <w:rsid w:val="00496BB3"/>
    <w:rsid w:val="004A3126"/>
    <w:rsid w:val="004A63D2"/>
    <w:rsid w:val="004A6891"/>
    <w:rsid w:val="004A6AB6"/>
    <w:rsid w:val="004B3756"/>
    <w:rsid w:val="004B397B"/>
    <w:rsid w:val="004B5FA9"/>
    <w:rsid w:val="004C0237"/>
    <w:rsid w:val="004C04D8"/>
    <w:rsid w:val="004C1D05"/>
    <w:rsid w:val="004C2D34"/>
    <w:rsid w:val="004C3A9B"/>
    <w:rsid w:val="004C4A3D"/>
    <w:rsid w:val="004C5FEA"/>
    <w:rsid w:val="004D136F"/>
    <w:rsid w:val="004D6EB7"/>
    <w:rsid w:val="004D7702"/>
    <w:rsid w:val="004D7CA3"/>
    <w:rsid w:val="004E1DCC"/>
    <w:rsid w:val="004E21B0"/>
    <w:rsid w:val="004E6593"/>
    <w:rsid w:val="004F0683"/>
    <w:rsid w:val="004F2494"/>
    <w:rsid w:val="004F3C8A"/>
    <w:rsid w:val="004F5183"/>
    <w:rsid w:val="004F6B03"/>
    <w:rsid w:val="004F793F"/>
    <w:rsid w:val="00505764"/>
    <w:rsid w:val="00505EBB"/>
    <w:rsid w:val="00507F08"/>
    <w:rsid w:val="00510357"/>
    <w:rsid w:val="005117DE"/>
    <w:rsid w:val="00511CE5"/>
    <w:rsid w:val="00512A88"/>
    <w:rsid w:val="00514ABC"/>
    <w:rsid w:val="005236CE"/>
    <w:rsid w:val="00527869"/>
    <w:rsid w:val="00532AE4"/>
    <w:rsid w:val="005337C2"/>
    <w:rsid w:val="005340A2"/>
    <w:rsid w:val="005341FC"/>
    <w:rsid w:val="00534BC7"/>
    <w:rsid w:val="005355EF"/>
    <w:rsid w:val="00536220"/>
    <w:rsid w:val="00537A59"/>
    <w:rsid w:val="00541F59"/>
    <w:rsid w:val="00543EDF"/>
    <w:rsid w:val="005454AE"/>
    <w:rsid w:val="00546160"/>
    <w:rsid w:val="00550094"/>
    <w:rsid w:val="005504E9"/>
    <w:rsid w:val="005552BC"/>
    <w:rsid w:val="00556793"/>
    <w:rsid w:val="00557652"/>
    <w:rsid w:val="0056415C"/>
    <w:rsid w:val="00581621"/>
    <w:rsid w:val="00586624"/>
    <w:rsid w:val="005866D7"/>
    <w:rsid w:val="00590B7F"/>
    <w:rsid w:val="00591361"/>
    <w:rsid w:val="005A0110"/>
    <w:rsid w:val="005A0C30"/>
    <w:rsid w:val="005A5238"/>
    <w:rsid w:val="005A5AC8"/>
    <w:rsid w:val="005A6326"/>
    <w:rsid w:val="005B0D23"/>
    <w:rsid w:val="005B14FE"/>
    <w:rsid w:val="005B1CE9"/>
    <w:rsid w:val="005B2D45"/>
    <w:rsid w:val="005B5CDF"/>
    <w:rsid w:val="005C2330"/>
    <w:rsid w:val="005C32D5"/>
    <w:rsid w:val="005C4CE7"/>
    <w:rsid w:val="005C5279"/>
    <w:rsid w:val="005D0F67"/>
    <w:rsid w:val="005D3757"/>
    <w:rsid w:val="005D3CF6"/>
    <w:rsid w:val="005D634D"/>
    <w:rsid w:val="005D7AA6"/>
    <w:rsid w:val="005E1339"/>
    <w:rsid w:val="005E1D83"/>
    <w:rsid w:val="005E1EE2"/>
    <w:rsid w:val="005E38D4"/>
    <w:rsid w:val="005F0C9C"/>
    <w:rsid w:val="005F43AC"/>
    <w:rsid w:val="005F5793"/>
    <w:rsid w:val="005F7FB1"/>
    <w:rsid w:val="00606BC3"/>
    <w:rsid w:val="00611A5D"/>
    <w:rsid w:val="00614780"/>
    <w:rsid w:val="00615C5A"/>
    <w:rsid w:val="006234C1"/>
    <w:rsid w:val="00632744"/>
    <w:rsid w:val="00632C0D"/>
    <w:rsid w:val="0063332E"/>
    <w:rsid w:val="00633B02"/>
    <w:rsid w:val="006473F8"/>
    <w:rsid w:val="00647ADC"/>
    <w:rsid w:val="00650E86"/>
    <w:rsid w:val="00655661"/>
    <w:rsid w:val="00656A52"/>
    <w:rsid w:val="006632DA"/>
    <w:rsid w:val="006638CD"/>
    <w:rsid w:val="00663FBF"/>
    <w:rsid w:val="00665367"/>
    <w:rsid w:val="00671AE7"/>
    <w:rsid w:val="00675E3A"/>
    <w:rsid w:val="00680D5B"/>
    <w:rsid w:val="00684519"/>
    <w:rsid w:val="006849B3"/>
    <w:rsid w:val="006929EF"/>
    <w:rsid w:val="00695E50"/>
    <w:rsid w:val="006A0C85"/>
    <w:rsid w:val="006A1B3B"/>
    <w:rsid w:val="006A5063"/>
    <w:rsid w:val="006A6BA9"/>
    <w:rsid w:val="006B1B97"/>
    <w:rsid w:val="006B2A53"/>
    <w:rsid w:val="006B3E4E"/>
    <w:rsid w:val="006B7226"/>
    <w:rsid w:val="006C024B"/>
    <w:rsid w:val="006C06EB"/>
    <w:rsid w:val="006C0A7F"/>
    <w:rsid w:val="006C2701"/>
    <w:rsid w:val="006C4625"/>
    <w:rsid w:val="006C5296"/>
    <w:rsid w:val="006C7243"/>
    <w:rsid w:val="006D1C24"/>
    <w:rsid w:val="006D2FE0"/>
    <w:rsid w:val="006E08F8"/>
    <w:rsid w:val="006E1FAF"/>
    <w:rsid w:val="006E4827"/>
    <w:rsid w:val="006E7D4D"/>
    <w:rsid w:val="006F2A4B"/>
    <w:rsid w:val="006F526B"/>
    <w:rsid w:val="006F7674"/>
    <w:rsid w:val="007016CE"/>
    <w:rsid w:val="00704F50"/>
    <w:rsid w:val="00705296"/>
    <w:rsid w:val="00705468"/>
    <w:rsid w:val="0070601B"/>
    <w:rsid w:val="00706140"/>
    <w:rsid w:val="00711E7C"/>
    <w:rsid w:val="00712E53"/>
    <w:rsid w:val="00714792"/>
    <w:rsid w:val="007157EC"/>
    <w:rsid w:val="007206D3"/>
    <w:rsid w:val="00725AA6"/>
    <w:rsid w:val="007271E1"/>
    <w:rsid w:val="00732B82"/>
    <w:rsid w:val="00734041"/>
    <w:rsid w:val="007348E5"/>
    <w:rsid w:val="00736527"/>
    <w:rsid w:val="00745014"/>
    <w:rsid w:val="00751571"/>
    <w:rsid w:val="00751DCD"/>
    <w:rsid w:val="0075232A"/>
    <w:rsid w:val="00752B4C"/>
    <w:rsid w:val="00753807"/>
    <w:rsid w:val="00753880"/>
    <w:rsid w:val="007544B0"/>
    <w:rsid w:val="00754DFC"/>
    <w:rsid w:val="00755ED8"/>
    <w:rsid w:val="0075715D"/>
    <w:rsid w:val="00760F04"/>
    <w:rsid w:val="0076648B"/>
    <w:rsid w:val="00770EB9"/>
    <w:rsid w:val="00773838"/>
    <w:rsid w:val="0077606B"/>
    <w:rsid w:val="00777566"/>
    <w:rsid w:val="007820ED"/>
    <w:rsid w:val="00785402"/>
    <w:rsid w:val="007871A7"/>
    <w:rsid w:val="00790CFB"/>
    <w:rsid w:val="00795ED9"/>
    <w:rsid w:val="007A2197"/>
    <w:rsid w:val="007A3E15"/>
    <w:rsid w:val="007B6339"/>
    <w:rsid w:val="007B6699"/>
    <w:rsid w:val="007B78A4"/>
    <w:rsid w:val="007C3038"/>
    <w:rsid w:val="007D0B2B"/>
    <w:rsid w:val="007D3283"/>
    <w:rsid w:val="007D5044"/>
    <w:rsid w:val="007D7437"/>
    <w:rsid w:val="007E15BE"/>
    <w:rsid w:val="007E6B53"/>
    <w:rsid w:val="007E7F82"/>
    <w:rsid w:val="007F038B"/>
    <w:rsid w:val="007F0B86"/>
    <w:rsid w:val="007F0CEF"/>
    <w:rsid w:val="007F4D89"/>
    <w:rsid w:val="007F5847"/>
    <w:rsid w:val="00800BBA"/>
    <w:rsid w:val="0080110E"/>
    <w:rsid w:val="00810C32"/>
    <w:rsid w:val="00813094"/>
    <w:rsid w:val="00814798"/>
    <w:rsid w:val="0081682C"/>
    <w:rsid w:val="00816BE4"/>
    <w:rsid w:val="00816C27"/>
    <w:rsid w:val="00817BE1"/>
    <w:rsid w:val="008240BD"/>
    <w:rsid w:val="00831B5D"/>
    <w:rsid w:val="00837A80"/>
    <w:rsid w:val="00846380"/>
    <w:rsid w:val="008479F3"/>
    <w:rsid w:val="00847ACD"/>
    <w:rsid w:val="0085586C"/>
    <w:rsid w:val="00857F94"/>
    <w:rsid w:val="008605E5"/>
    <w:rsid w:val="00861ACB"/>
    <w:rsid w:val="00861EAD"/>
    <w:rsid w:val="00865771"/>
    <w:rsid w:val="00866C29"/>
    <w:rsid w:val="008670E6"/>
    <w:rsid w:val="00870F11"/>
    <w:rsid w:val="0087250D"/>
    <w:rsid w:val="008741AC"/>
    <w:rsid w:val="008747A8"/>
    <w:rsid w:val="008776C3"/>
    <w:rsid w:val="0088455B"/>
    <w:rsid w:val="00886684"/>
    <w:rsid w:val="008953A7"/>
    <w:rsid w:val="00897825"/>
    <w:rsid w:val="008A388D"/>
    <w:rsid w:val="008A52D0"/>
    <w:rsid w:val="008B443B"/>
    <w:rsid w:val="008C128E"/>
    <w:rsid w:val="008C1DC3"/>
    <w:rsid w:val="008C1F5C"/>
    <w:rsid w:val="008C4BC9"/>
    <w:rsid w:val="008C666C"/>
    <w:rsid w:val="008C6F33"/>
    <w:rsid w:val="008D24FF"/>
    <w:rsid w:val="008D28DE"/>
    <w:rsid w:val="008D3B68"/>
    <w:rsid w:val="008D5426"/>
    <w:rsid w:val="008D75AF"/>
    <w:rsid w:val="008D7BE9"/>
    <w:rsid w:val="008F1BDB"/>
    <w:rsid w:val="008F227C"/>
    <w:rsid w:val="008F4B4D"/>
    <w:rsid w:val="008F6006"/>
    <w:rsid w:val="00904D6B"/>
    <w:rsid w:val="00905D15"/>
    <w:rsid w:val="0091056B"/>
    <w:rsid w:val="0091586B"/>
    <w:rsid w:val="009179A9"/>
    <w:rsid w:val="00920CE5"/>
    <w:rsid w:val="00924726"/>
    <w:rsid w:val="00925302"/>
    <w:rsid w:val="00925650"/>
    <w:rsid w:val="0092631A"/>
    <w:rsid w:val="0092701E"/>
    <w:rsid w:val="00932831"/>
    <w:rsid w:val="00935BA7"/>
    <w:rsid w:val="009410E4"/>
    <w:rsid w:val="00942B64"/>
    <w:rsid w:val="00945DAD"/>
    <w:rsid w:val="00947FBD"/>
    <w:rsid w:val="00950923"/>
    <w:rsid w:val="00951DF9"/>
    <w:rsid w:val="00952423"/>
    <w:rsid w:val="00952E5F"/>
    <w:rsid w:val="00954452"/>
    <w:rsid w:val="0096192F"/>
    <w:rsid w:val="00961DA1"/>
    <w:rsid w:val="00962CCC"/>
    <w:rsid w:val="00963253"/>
    <w:rsid w:val="009728D0"/>
    <w:rsid w:val="009731FF"/>
    <w:rsid w:val="009737A9"/>
    <w:rsid w:val="00973E3B"/>
    <w:rsid w:val="00973F78"/>
    <w:rsid w:val="00974157"/>
    <w:rsid w:val="00974EEA"/>
    <w:rsid w:val="0098008E"/>
    <w:rsid w:val="0098161C"/>
    <w:rsid w:val="00982D3E"/>
    <w:rsid w:val="00986E30"/>
    <w:rsid w:val="009878EC"/>
    <w:rsid w:val="00990F8A"/>
    <w:rsid w:val="009A087B"/>
    <w:rsid w:val="009A2D36"/>
    <w:rsid w:val="009B0AB5"/>
    <w:rsid w:val="009B28B9"/>
    <w:rsid w:val="009B28C6"/>
    <w:rsid w:val="009C1DA1"/>
    <w:rsid w:val="009C1F8A"/>
    <w:rsid w:val="009C4687"/>
    <w:rsid w:val="009D11A1"/>
    <w:rsid w:val="009D22A4"/>
    <w:rsid w:val="009D726B"/>
    <w:rsid w:val="009E371A"/>
    <w:rsid w:val="009F14C8"/>
    <w:rsid w:val="009F21DF"/>
    <w:rsid w:val="009F2482"/>
    <w:rsid w:val="009F5A6D"/>
    <w:rsid w:val="00A01F16"/>
    <w:rsid w:val="00A037B3"/>
    <w:rsid w:val="00A07A94"/>
    <w:rsid w:val="00A158A6"/>
    <w:rsid w:val="00A16F0B"/>
    <w:rsid w:val="00A172B5"/>
    <w:rsid w:val="00A176F8"/>
    <w:rsid w:val="00A20667"/>
    <w:rsid w:val="00A31F38"/>
    <w:rsid w:val="00A41091"/>
    <w:rsid w:val="00A47B14"/>
    <w:rsid w:val="00A5028A"/>
    <w:rsid w:val="00A5361B"/>
    <w:rsid w:val="00A550F1"/>
    <w:rsid w:val="00A6171E"/>
    <w:rsid w:val="00A774E9"/>
    <w:rsid w:val="00A906A0"/>
    <w:rsid w:val="00A91587"/>
    <w:rsid w:val="00A929E4"/>
    <w:rsid w:val="00A93CE5"/>
    <w:rsid w:val="00A945E6"/>
    <w:rsid w:val="00A97027"/>
    <w:rsid w:val="00A978FE"/>
    <w:rsid w:val="00AA2F41"/>
    <w:rsid w:val="00AA6C6F"/>
    <w:rsid w:val="00AA7319"/>
    <w:rsid w:val="00AB0CF4"/>
    <w:rsid w:val="00AB2023"/>
    <w:rsid w:val="00AB2266"/>
    <w:rsid w:val="00AC27EE"/>
    <w:rsid w:val="00AC4529"/>
    <w:rsid w:val="00AC47FD"/>
    <w:rsid w:val="00AC68ED"/>
    <w:rsid w:val="00AD2703"/>
    <w:rsid w:val="00AE0873"/>
    <w:rsid w:val="00AE232E"/>
    <w:rsid w:val="00AE2485"/>
    <w:rsid w:val="00AE275D"/>
    <w:rsid w:val="00AE2DEE"/>
    <w:rsid w:val="00AE3034"/>
    <w:rsid w:val="00AE477B"/>
    <w:rsid w:val="00AE60A7"/>
    <w:rsid w:val="00AE7ECB"/>
    <w:rsid w:val="00AE7EE0"/>
    <w:rsid w:val="00AE7FE6"/>
    <w:rsid w:val="00AF18B1"/>
    <w:rsid w:val="00AF1BB3"/>
    <w:rsid w:val="00AF2EE8"/>
    <w:rsid w:val="00AF4253"/>
    <w:rsid w:val="00AF4F14"/>
    <w:rsid w:val="00B02746"/>
    <w:rsid w:val="00B027B7"/>
    <w:rsid w:val="00B03872"/>
    <w:rsid w:val="00B051EE"/>
    <w:rsid w:val="00B055F6"/>
    <w:rsid w:val="00B064A1"/>
    <w:rsid w:val="00B0657F"/>
    <w:rsid w:val="00B17DF6"/>
    <w:rsid w:val="00B21473"/>
    <w:rsid w:val="00B25320"/>
    <w:rsid w:val="00B255F7"/>
    <w:rsid w:val="00B26004"/>
    <w:rsid w:val="00B329F5"/>
    <w:rsid w:val="00B36060"/>
    <w:rsid w:val="00B41A15"/>
    <w:rsid w:val="00B43B49"/>
    <w:rsid w:val="00B43F00"/>
    <w:rsid w:val="00B454AF"/>
    <w:rsid w:val="00B46533"/>
    <w:rsid w:val="00B46A6A"/>
    <w:rsid w:val="00B52CAE"/>
    <w:rsid w:val="00B53A29"/>
    <w:rsid w:val="00B575C4"/>
    <w:rsid w:val="00B65861"/>
    <w:rsid w:val="00B74064"/>
    <w:rsid w:val="00B80D5E"/>
    <w:rsid w:val="00B82D7A"/>
    <w:rsid w:val="00B8431B"/>
    <w:rsid w:val="00B8696D"/>
    <w:rsid w:val="00B86C9E"/>
    <w:rsid w:val="00BA0DD6"/>
    <w:rsid w:val="00BA1B03"/>
    <w:rsid w:val="00BA1CAC"/>
    <w:rsid w:val="00BA2CF8"/>
    <w:rsid w:val="00BA5349"/>
    <w:rsid w:val="00BA5852"/>
    <w:rsid w:val="00BB5024"/>
    <w:rsid w:val="00BC012A"/>
    <w:rsid w:val="00BC4282"/>
    <w:rsid w:val="00BC67CE"/>
    <w:rsid w:val="00BC6DA0"/>
    <w:rsid w:val="00BD2601"/>
    <w:rsid w:val="00BD51FA"/>
    <w:rsid w:val="00BD550A"/>
    <w:rsid w:val="00BD5C0F"/>
    <w:rsid w:val="00BD647D"/>
    <w:rsid w:val="00BE179F"/>
    <w:rsid w:val="00BE1E71"/>
    <w:rsid w:val="00BE2B38"/>
    <w:rsid w:val="00BE347D"/>
    <w:rsid w:val="00BE7987"/>
    <w:rsid w:val="00BF4EAB"/>
    <w:rsid w:val="00BF698C"/>
    <w:rsid w:val="00C10B36"/>
    <w:rsid w:val="00C13951"/>
    <w:rsid w:val="00C17DA7"/>
    <w:rsid w:val="00C17FE8"/>
    <w:rsid w:val="00C23893"/>
    <w:rsid w:val="00C23975"/>
    <w:rsid w:val="00C24A65"/>
    <w:rsid w:val="00C25437"/>
    <w:rsid w:val="00C25B2A"/>
    <w:rsid w:val="00C31C4C"/>
    <w:rsid w:val="00C3238E"/>
    <w:rsid w:val="00C34211"/>
    <w:rsid w:val="00C34DEE"/>
    <w:rsid w:val="00C3743F"/>
    <w:rsid w:val="00C419F1"/>
    <w:rsid w:val="00C4250B"/>
    <w:rsid w:val="00C45079"/>
    <w:rsid w:val="00C50524"/>
    <w:rsid w:val="00C5110C"/>
    <w:rsid w:val="00C52F10"/>
    <w:rsid w:val="00C54B97"/>
    <w:rsid w:val="00C54DD1"/>
    <w:rsid w:val="00C54FDE"/>
    <w:rsid w:val="00C57045"/>
    <w:rsid w:val="00C575F1"/>
    <w:rsid w:val="00C57968"/>
    <w:rsid w:val="00C647E2"/>
    <w:rsid w:val="00C65772"/>
    <w:rsid w:val="00C73B0F"/>
    <w:rsid w:val="00C74988"/>
    <w:rsid w:val="00C8537F"/>
    <w:rsid w:val="00C86DA2"/>
    <w:rsid w:val="00C90178"/>
    <w:rsid w:val="00C92A8E"/>
    <w:rsid w:val="00C94A43"/>
    <w:rsid w:val="00C9650A"/>
    <w:rsid w:val="00C97BC7"/>
    <w:rsid w:val="00CA0F1C"/>
    <w:rsid w:val="00CA1F34"/>
    <w:rsid w:val="00CA3D81"/>
    <w:rsid w:val="00CA797F"/>
    <w:rsid w:val="00CB06B8"/>
    <w:rsid w:val="00CB0EE9"/>
    <w:rsid w:val="00CB40FD"/>
    <w:rsid w:val="00CB638E"/>
    <w:rsid w:val="00CC0BB8"/>
    <w:rsid w:val="00CC194E"/>
    <w:rsid w:val="00CC6EF2"/>
    <w:rsid w:val="00CD3A5F"/>
    <w:rsid w:val="00CD5CAA"/>
    <w:rsid w:val="00CE52E9"/>
    <w:rsid w:val="00CF4ED3"/>
    <w:rsid w:val="00CF4FED"/>
    <w:rsid w:val="00D0578F"/>
    <w:rsid w:val="00D05D9F"/>
    <w:rsid w:val="00D05F2E"/>
    <w:rsid w:val="00D07675"/>
    <w:rsid w:val="00D13AB3"/>
    <w:rsid w:val="00D20E2A"/>
    <w:rsid w:val="00D27F3C"/>
    <w:rsid w:val="00D30BB9"/>
    <w:rsid w:val="00D31064"/>
    <w:rsid w:val="00D42953"/>
    <w:rsid w:val="00D42A76"/>
    <w:rsid w:val="00D4372E"/>
    <w:rsid w:val="00D43A3D"/>
    <w:rsid w:val="00D4659E"/>
    <w:rsid w:val="00D47E82"/>
    <w:rsid w:val="00D50FE5"/>
    <w:rsid w:val="00D52435"/>
    <w:rsid w:val="00D5313D"/>
    <w:rsid w:val="00D6118C"/>
    <w:rsid w:val="00D62302"/>
    <w:rsid w:val="00D6326F"/>
    <w:rsid w:val="00D64813"/>
    <w:rsid w:val="00D669D4"/>
    <w:rsid w:val="00D71396"/>
    <w:rsid w:val="00D802A9"/>
    <w:rsid w:val="00D81F2A"/>
    <w:rsid w:val="00D84A8D"/>
    <w:rsid w:val="00DA0E52"/>
    <w:rsid w:val="00DA2F55"/>
    <w:rsid w:val="00DA3D1F"/>
    <w:rsid w:val="00DA5DB1"/>
    <w:rsid w:val="00DA64AF"/>
    <w:rsid w:val="00DB074E"/>
    <w:rsid w:val="00DB56A7"/>
    <w:rsid w:val="00DD4BDA"/>
    <w:rsid w:val="00DE32D9"/>
    <w:rsid w:val="00DE6276"/>
    <w:rsid w:val="00DE72AF"/>
    <w:rsid w:val="00DF0CF6"/>
    <w:rsid w:val="00DF15D0"/>
    <w:rsid w:val="00DF1EDE"/>
    <w:rsid w:val="00DF62DE"/>
    <w:rsid w:val="00DF6FB5"/>
    <w:rsid w:val="00E0049C"/>
    <w:rsid w:val="00E017D7"/>
    <w:rsid w:val="00E01F12"/>
    <w:rsid w:val="00E0231F"/>
    <w:rsid w:val="00E03EDE"/>
    <w:rsid w:val="00E04A8E"/>
    <w:rsid w:val="00E12CF1"/>
    <w:rsid w:val="00E1383A"/>
    <w:rsid w:val="00E16D93"/>
    <w:rsid w:val="00E1705D"/>
    <w:rsid w:val="00E2064D"/>
    <w:rsid w:val="00E24222"/>
    <w:rsid w:val="00E24C2F"/>
    <w:rsid w:val="00E2759D"/>
    <w:rsid w:val="00E27819"/>
    <w:rsid w:val="00E33EC8"/>
    <w:rsid w:val="00E349A1"/>
    <w:rsid w:val="00E4389E"/>
    <w:rsid w:val="00E4690C"/>
    <w:rsid w:val="00E46D04"/>
    <w:rsid w:val="00E550E8"/>
    <w:rsid w:val="00E5608E"/>
    <w:rsid w:val="00E6289D"/>
    <w:rsid w:val="00E66C66"/>
    <w:rsid w:val="00E67624"/>
    <w:rsid w:val="00E76633"/>
    <w:rsid w:val="00E82E11"/>
    <w:rsid w:val="00E85485"/>
    <w:rsid w:val="00E92E61"/>
    <w:rsid w:val="00E970CC"/>
    <w:rsid w:val="00EA154A"/>
    <w:rsid w:val="00EA31F1"/>
    <w:rsid w:val="00EA35FC"/>
    <w:rsid w:val="00EA5C0A"/>
    <w:rsid w:val="00EA76F7"/>
    <w:rsid w:val="00EB0E63"/>
    <w:rsid w:val="00EB3731"/>
    <w:rsid w:val="00EB4151"/>
    <w:rsid w:val="00EB56F4"/>
    <w:rsid w:val="00EC2030"/>
    <w:rsid w:val="00EC3544"/>
    <w:rsid w:val="00EC749F"/>
    <w:rsid w:val="00ED0785"/>
    <w:rsid w:val="00ED4A51"/>
    <w:rsid w:val="00ED70EA"/>
    <w:rsid w:val="00ED727C"/>
    <w:rsid w:val="00ED7594"/>
    <w:rsid w:val="00EE4ABF"/>
    <w:rsid w:val="00EE4B61"/>
    <w:rsid w:val="00EE5407"/>
    <w:rsid w:val="00EE551C"/>
    <w:rsid w:val="00EE5F11"/>
    <w:rsid w:val="00EF0237"/>
    <w:rsid w:val="00EF26BF"/>
    <w:rsid w:val="00EF6A90"/>
    <w:rsid w:val="00F030AE"/>
    <w:rsid w:val="00F0478A"/>
    <w:rsid w:val="00F1175F"/>
    <w:rsid w:val="00F12A6E"/>
    <w:rsid w:val="00F13619"/>
    <w:rsid w:val="00F16D6B"/>
    <w:rsid w:val="00F20ACD"/>
    <w:rsid w:val="00F23628"/>
    <w:rsid w:val="00F314B3"/>
    <w:rsid w:val="00F3174C"/>
    <w:rsid w:val="00F354AE"/>
    <w:rsid w:val="00F3794E"/>
    <w:rsid w:val="00F427C0"/>
    <w:rsid w:val="00F461EE"/>
    <w:rsid w:val="00F47421"/>
    <w:rsid w:val="00F47564"/>
    <w:rsid w:val="00F50713"/>
    <w:rsid w:val="00F50D3F"/>
    <w:rsid w:val="00F51A34"/>
    <w:rsid w:val="00F51AAA"/>
    <w:rsid w:val="00F57BEA"/>
    <w:rsid w:val="00F626BE"/>
    <w:rsid w:val="00F63430"/>
    <w:rsid w:val="00F65ADB"/>
    <w:rsid w:val="00F70ABB"/>
    <w:rsid w:val="00F760BF"/>
    <w:rsid w:val="00F81867"/>
    <w:rsid w:val="00F81DE7"/>
    <w:rsid w:val="00F8346F"/>
    <w:rsid w:val="00F85AA6"/>
    <w:rsid w:val="00F86A56"/>
    <w:rsid w:val="00F87354"/>
    <w:rsid w:val="00F8771D"/>
    <w:rsid w:val="00F90F81"/>
    <w:rsid w:val="00F92592"/>
    <w:rsid w:val="00F92769"/>
    <w:rsid w:val="00F93AA0"/>
    <w:rsid w:val="00F94A79"/>
    <w:rsid w:val="00F95A80"/>
    <w:rsid w:val="00F968D4"/>
    <w:rsid w:val="00F9691F"/>
    <w:rsid w:val="00F96E21"/>
    <w:rsid w:val="00F97873"/>
    <w:rsid w:val="00F97E7A"/>
    <w:rsid w:val="00FA28E4"/>
    <w:rsid w:val="00FA5AA6"/>
    <w:rsid w:val="00FA62CE"/>
    <w:rsid w:val="00FB3826"/>
    <w:rsid w:val="00FB5C4C"/>
    <w:rsid w:val="00FB7ECA"/>
    <w:rsid w:val="00FB7F87"/>
    <w:rsid w:val="00FC1C4C"/>
    <w:rsid w:val="00FC4DF1"/>
    <w:rsid w:val="00FC6C59"/>
    <w:rsid w:val="00FD1F3B"/>
    <w:rsid w:val="00FD5268"/>
    <w:rsid w:val="00FD68DF"/>
    <w:rsid w:val="00FE2041"/>
    <w:rsid w:val="00FE2117"/>
    <w:rsid w:val="00FE4829"/>
    <w:rsid w:val="00FE7900"/>
    <w:rsid w:val="00FE7BB9"/>
    <w:rsid w:val="00FF0D79"/>
    <w:rsid w:val="00FF27A2"/>
    <w:rsid w:val="00FF3548"/>
    <w:rsid w:val="00FF4429"/>
    <w:rsid w:val="00FF7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660D"/>
  <w15:chartTrackingRefBased/>
  <w15:docId w15:val="{CE672083-C36C-C045-A25D-8281D20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6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6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461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61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61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61E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61E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61E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61E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61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61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461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61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61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61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61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61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61EE"/>
    <w:rPr>
      <w:rFonts w:eastAsiaTheme="majorEastAsia" w:cstheme="majorBidi"/>
      <w:color w:val="272727" w:themeColor="text1" w:themeTint="D8"/>
    </w:rPr>
  </w:style>
  <w:style w:type="paragraph" w:styleId="Ttulo">
    <w:name w:val="Title"/>
    <w:basedOn w:val="Normal"/>
    <w:next w:val="Normal"/>
    <w:link w:val="TtuloCar"/>
    <w:uiPriority w:val="10"/>
    <w:qFormat/>
    <w:rsid w:val="00F461E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61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61E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61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61E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61EE"/>
    <w:rPr>
      <w:i/>
      <w:iCs/>
      <w:color w:val="404040" w:themeColor="text1" w:themeTint="BF"/>
    </w:rPr>
  </w:style>
  <w:style w:type="paragraph" w:styleId="Prrafodelista">
    <w:name w:val="List Paragraph"/>
    <w:basedOn w:val="Normal"/>
    <w:uiPriority w:val="34"/>
    <w:qFormat/>
    <w:rsid w:val="00F461EE"/>
    <w:pPr>
      <w:ind w:left="720"/>
      <w:contextualSpacing/>
    </w:pPr>
  </w:style>
  <w:style w:type="character" w:styleId="nfasisintenso">
    <w:name w:val="Intense Emphasis"/>
    <w:basedOn w:val="Fuentedeprrafopredeter"/>
    <w:uiPriority w:val="21"/>
    <w:qFormat/>
    <w:rsid w:val="00F461EE"/>
    <w:rPr>
      <w:i/>
      <w:iCs/>
      <w:color w:val="0F4761" w:themeColor="accent1" w:themeShade="BF"/>
    </w:rPr>
  </w:style>
  <w:style w:type="paragraph" w:styleId="Citadestacada">
    <w:name w:val="Intense Quote"/>
    <w:basedOn w:val="Normal"/>
    <w:next w:val="Normal"/>
    <w:link w:val="CitadestacadaCar"/>
    <w:uiPriority w:val="30"/>
    <w:qFormat/>
    <w:rsid w:val="00F46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61EE"/>
    <w:rPr>
      <w:i/>
      <w:iCs/>
      <w:color w:val="0F4761" w:themeColor="accent1" w:themeShade="BF"/>
    </w:rPr>
  </w:style>
  <w:style w:type="character" w:styleId="Referenciaintensa">
    <w:name w:val="Intense Reference"/>
    <w:basedOn w:val="Fuentedeprrafopredeter"/>
    <w:uiPriority w:val="32"/>
    <w:qFormat/>
    <w:rsid w:val="00F461EE"/>
    <w:rPr>
      <w:b/>
      <w:bCs/>
      <w:smallCaps/>
      <w:color w:val="0F4761" w:themeColor="accent1" w:themeShade="BF"/>
      <w:spacing w:val="5"/>
    </w:rPr>
  </w:style>
  <w:style w:type="paragraph" w:styleId="Textonotapie">
    <w:name w:val="footnote text"/>
    <w:aliases w:val="o,ft,fds,note,note Car Car Car,*Footnote Text,Footnote reference,FA Fu,Footnote Text Char Char Char Char Char,Footnote Text Char Char Char Char,Footnote,Schriftart: 9 pt,Schriftart: 10 pt,Schriftart: 8 pt,WB-Fußnotentext,fn,Footnotes,5_G"/>
    <w:basedOn w:val="Normal"/>
    <w:link w:val="TextonotapieCar"/>
    <w:unhideWhenUsed/>
    <w:qFormat/>
    <w:rsid w:val="00F461EE"/>
    <w:rPr>
      <w:rFonts w:ascii="Arial" w:eastAsia="Times New Roman" w:hAnsi="Arial" w:cs="Arial"/>
      <w:kern w:val="0"/>
      <w:lang w:eastAsia="es-ES"/>
      <w14:ligatures w14:val="none"/>
    </w:rPr>
  </w:style>
  <w:style w:type="character" w:customStyle="1" w:styleId="TextonotapieCar">
    <w:name w:val="Texto nota pie Car"/>
    <w:aliases w:val="o Car,ft Car,fds Car,note Car,note Car Car Car Car,*Footnote Text Car,Footnote reference Car,FA Fu Car,Footnote Text Char Char Char Char Char Car,Footnote Text Char Char Char Char Car,Footnote Car,Schriftart: 9 pt Car,fn Car,5_G Car"/>
    <w:basedOn w:val="Fuentedeprrafopredeter"/>
    <w:link w:val="Textonotapie"/>
    <w:qFormat/>
    <w:rsid w:val="00F461EE"/>
    <w:rPr>
      <w:rFonts w:ascii="Arial" w:eastAsia="Times New Roman" w:hAnsi="Arial" w:cs="Arial"/>
      <w:kern w:val="0"/>
      <w:lang w:eastAsia="es-ES"/>
      <w14:ligatures w14:val="none"/>
    </w:rPr>
  </w:style>
  <w:style w:type="character" w:styleId="Refdenotaalpie">
    <w:name w:val="footnote reference"/>
    <w:aliases w:val="Footnote Refernece,Footnote Reference Number,Footnote symbol,Times 10 Point,Exposant 3 Point,Footnote Reference Number + Tahoma,11 pt,*Footnote Reference,Footnotes refss,Appel note de bas de p.,Footnotes refss Char,Style 10,4_G,FR"/>
    <w:basedOn w:val="Fuentedeprrafopredeter"/>
    <w:link w:val="CarCharCarCharCarCharCharCharCharCharCharChar"/>
    <w:unhideWhenUsed/>
    <w:qFormat/>
    <w:rsid w:val="00F461EE"/>
    <w:rPr>
      <w:vertAlign w:val="superscript"/>
    </w:rPr>
  </w:style>
  <w:style w:type="paragraph" w:customStyle="1" w:styleId="CarCharCarCharCarCharCharCharCharCharCharChar">
    <w:name w:val="Car Char Car Char Car Char Char Char Char Char Char Char"/>
    <w:aliases w:val="Footnote Refernece Char,Footnote Refernece Char Char Char Char"/>
    <w:basedOn w:val="Normal"/>
    <w:link w:val="Refdenotaalpie"/>
    <w:rsid w:val="00F461EE"/>
    <w:pPr>
      <w:autoSpaceDE w:val="0"/>
      <w:autoSpaceDN w:val="0"/>
      <w:spacing w:after="160" w:line="240" w:lineRule="exact"/>
      <w:jc w:val="both"/>
    </w:pPr>
    <w:rPr>
      <w:vertAlign w:val="superscript"/>
    </w:rPr>
  </w:style>
  <w:style w:type="paragraph" w:styleId="NormalWeb">
    <w:name w:val="Normal (Web)"/>
    <w:basedOn w:val="Normal"/>
    <w:uiPriority w:val="99"/>
    <w:semiHidden/>
    <w:unhideWhenUsed/>
    <w:rsid w:val="006A6BA9"/>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unhideWhenUsed/>
    <w:rsid w:val="006A6BA9"/>
    <w:rPr>
      <w:color w:val="467886" w:themeColor="hyperlink"/>
      <w:u w:val="single"/>
    </w:rPr>
  </w:style>
  <w:style w:type="character" w:styleId="Mencinsinresolver">
    <w:name w:val="Unresolved Mention"/>
    <w:basedOn w:val="Fuentedeprrafopredeter"/>
    <w:uiPriority w:val="99"/>
    <w:semiHidden/>
    <w:unhideWhenUsed/>
    <w:rsid w:val="006A6BA9"/>
    <w:rPr>
      <w:color w:val="605E5C"/>
      <w:shd w:val="clear" w:color="auto" w:fill="E1DFDD"/>
    </w:rPr>
  </w:style>
  <w:style w:type="character" w:customStyle="1" w:styleId="longtext">
    <w:name w:val="long_text"/>
    <w:rsid w:val="004C0237"/>
  </w:style>
  <w:style w:type="character" w:styleId="Hipervnculovisitado">
    <w:name w:val="FollowedHyperlink"/>
    <w:basedOn w:val="Fuentedeprrafopredeter"/>
    <w:uiPriority w:val="99"/>
    <w:semiHidden/>
    <w:unhideWhenUsed/>
    <w:rsid w:val="00732B82"/>
    <w:rPr>
      <w:color w:val="96607D" w:themeColor="followedHyperlink"/>
      <w:u w:val="single"/>
    </w:rPr>
  </w:style>
  <w:style w:type="paragraph" w:styleId="Piedepgina">
    <w:name w:val="footer"/>
    <w:basedOn w:val="Normal"/>
    <w:link w:val="PiedepginaCar"/>
    <w:uiPriority w:val="99"/>
    <w:unhideWhenUsed/>
    <w:rsid w:val="003D42B4"/>
    <w:pPr>
      <w:tabs>
        <w:tab w:val="center" w:pos="4252"/>
        <w:tab w:val="right" w:pos="8504"/>
      </w:tabs>
    </w:pPr>
  </w:style>
  <w:style w:type="character" w:customStyle="1" w:styleId="PiedepginaCar">
    <w:name w:val="Pie de página Car"/>
    <w:basedOn w:val="Fuentedeprrafopredeter"/>
    <w:link w:val="Piedepgina"/>
    <w:uiPriority w:val="99"/>
    <w:rsid w:val="003D42B4"/>
  </w:style>
  <w:style w:type="character" w:styleId="Nmerodepgina">
    <w:name w:val="page number"/>
    <w:basedOn w:val="Fuentedeprrafopredeter"/>
    <w:uiPriority w:val="99"/>
    <w:semiHidden/>
    <w:unhideWhenUsed/>
    <w:rsid w:val="003D42B4"/>
  </w:style>
  <w:style w:type="paragraph" w:styleId="Encabezado">
    <w:name w:val="header"/>
    <w:basedOn w:val="Normal"/>
    <w:link w:val="EncabezadoCar"/>
    <w:uiPriority w:val="99"/>
    <w:unhideWhenUsed/>
    <w:rsid w:val="003331ED"/>
    <w:pPr>
      <w:tabs>
        <w:tab w:val="center" w:pos="4252"/>
        <w:tab w:val="right" w:pos="8504"/>
      </w:tabs>
    </w:pPr>
  </w:style>
  <w:style w:type="character" w:customStyle="1" w:styleId="EncabezadoCar">
    <w:name w:val="Encabezado Car"/>
    <w:basedOn w:val="Fuentedeprrafopredeter"/>
    <w:link w:val="Encabezado"/>
    <w:uiPriority w:val="99"/>
    <w:rsid w:val="003331ED"/>
  </w:style>
  <w:style w:type="paragraph" w:styleId="Textonotaalfinal">
    <w:name w:val="endnote text"/>
    <w:basedOn w:val="Normal"/>
    <w:link w:val="TextonotaalfinalCar"/>
    <w:uiPriority w:val="99"/>
    <w:semiHidden/>
    <w:unhideWhenUsed/>
    <w:rsid w:val="00770EB9"/>
    <w:rPr>
      <w:sz w:val="20"/>
      <w:szCs w:val="20"/>
    </w:rPr>
  </w:style>
  <w:style w:type="character" w:customStyle="1" w:styleId="TextonotaalfinalCar">
    <w:name w:val="Texto nota al final Car"/>
    <w:basedOn w:val="Fuentedeprrafopredeter"/>
    <w:link w:val="Textonotaalfinal"/>
    <w:uiPriority w:val="99"/>
    <w:semiHidden/>
    <w:rsid w:val="00770EB9"/>
    <w:rPr>
      <w:sz w:val="20"/>
      <w:szCs w:val="20"/>
    </w:rPr>
  </w:style>
  <w:style w:type="character" w:styleId="Refdenotaalfinal">
    <w:name w:val="endnote reference"/>
    <w:basedOn w:val="Fuentedeprrafopredeter"/>
    <w:uiPriority w:val="99"/>
    <w:semiHidden/>
    <w:unhideWhenUsed/>
    <w:rsid w:val="00770EB9"/>
    <w:rPr>
      <w:vertAlign w:val="superscript"/>
    </w:rPr>
  </w:style>
  <w:style w:type="paragraph" w:styleId="Revisin">
    <w:name w:val="Revision"/>
    <w:hidden/>
    <w:uiPriority w:val="99"/>
    <w:semiHidden/>
    <w:rsid w:val="00E12CF1"/>
  </w:style>
  <w:style w:type="paragraph" w:customStyle="1" w:styleId="p1">
    <w:name w:val="p1"/>
    <w:basedOn w:val="Normal"/>
    <w:rsid w:val="0015659E"/>
    <w:rPr>
      <w:rFonts w:ascii="Helvetica" w:eastAsia="Times New Roman" w:hAnsi="Helvetica" w:cs="Times New Roman"/>
      <w:color w:val="141413"/>
      <w:kern w:val="0"/>
      <w:sz w:val="15"/>
      <w:szCs w:val="15"/>
      <w:lang w:eastAsia="es-ES_tradnl"/>
      <w14:ligatures w14:val="none"/>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rsid w:val="00E03EDE"/>
    <w:pPr>
      <w:spacing w:after="160" w:line="240" w:lineRule="exact"/>
    </w:pPr>
    <w:rPr>
      <w:vertAlign w:val="superscript"/>
    </w:rPr>
  </w:style>
  <w:style w:type="paragraph" w:customStyle="1" w:styleId="paraOJS">
    <w:name w:val="para OJS"/>
    <w:basedOn w:val="Normal"/>
    <w:autoRedefine/>
    <w:qFormat/>
    <w:rsid w:val="00A01F16"/>
    <w:pPr>
      <w:widowControl w:val="0"/>
      <w:spacing w:line="360" w:lineRule="auto"/>
      <w:ind w:firstLine="709"/>
      <w:contextualSpacing/>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228">
      <w:bodyDiv w:val="1"/>
      <w:marLeft w:val="0"/>
      <w:marRight w:val="0"/>
      <w:marTop w:val="0"/>
      <w:marBottom w:val="0"/>
      <w:divBdr>
        <w:top w:val="none" w:sz="0" w:space="0" w:color="auto"/>
        <w:left w:val="none" w:sz="0" w:space="0" w:color="auto"/>
        <w:bottom w:val="none" w:sz="0" w:space="0" w:color="auto"/>
        <w:right w:val="none" w:sz="0" w:space="0" w:color="auto"/>
      </w:divBdr>
      <w:divsChild>
        <w:div w:id="1792435581">
          <w:marLeft w:val="274"/>
          <w:marRight w:val="0"/>
          <w:marTop w:val="0"/>
          <w:marBottom w:val="0"/>
          <w:divBdr>
            <w:top w:val="none" w:sz="0" w:space="0" w:color="auto"/>
            <w:left w:val="none" w:sz="0" w:space="0" w:color="auto"/>
            <w:bottom w:val="none" w:sz="0" w:space="0" w:color="auto"/>
            <w:right w:val="none" w:sz="0" w:space="0" w:color="auto"/>
          </w:divBdr>
        </w:div>
      </w:divsChild>
    </w:div>
    <w:div w:id="78913229">
      <w:bodyDiv w:val="1"/>
      <w:marLeft w:val="0"/>
      <w:marRight w:val="0"/>
      <w:marTop w:val="0"/>
      <w:marBottom w:val="0"/>
      <w:divBdr>
        <w:top w:val="none" w:sz="0" w:space="0" w:color="auto"/>
        <w:left w:val="none" w:sz="0" w:space="0" w:color="auto"/>
        <w:bottom w:val="none" w:sz="0" w:space="0" w:color="auto"/>
        <w:right w:val="none" w:sz="0" w:space="0" w:color="auto"/>
      </w:divBdr>
    </w:div>
    <w:div w:id="84615899">
      <w:bodyDiv w:val="1"/>
      <w:marLeft w:val="0"/>
      <w:marRight w:val="0"/>
      <w:marTop w:val="0"/>
      <w:marBottom w:val="0"/>
      <w:divBdr>
        <w:top w:val="none" w:sz="0" w:space="0" w:color="auto"/>
        <w:left w:val="none" w:sz="0" w:space="0" w:color="auto"/>
        <w:bottom w:val="none" w:sz="0" w:space="0" w:color="auto"/>
        <w:right w:val="none" w:sz="0" w:space="0" w:color="auto"/>
      </w:divBdr>
      <w:divsChild>
        <w:div w:id="569970526">
          <w:marLeft w:val="547"/>
          <w:marRight w:val="0"/>
          <w:marTop w:val="0"/>
          <w:marBottom w:val="0"/>
          <w:divBdr>
            <w:top w:val="none" w:sz="0" w:space="0" w:color="auto"/>
            <w:left w:val="none" w:sz="0" w:space="0" w:color="auto"/>
            <w:bottom w:val="none" w:sz="0" w:space="0" w:color="auto"/>
            <w:right w:val="none" w:sz="0" w:space="0" w:color="auto"/>
          </w:divBdr>
        </w:div>
      </w:divsChild>
    </w:div>
    <w:div w:id="98723581">
      <w:bodyDiv w:val="1"/>
      <w:marLeft w:val="0"/>
      <w:marRight w:val="0"/>
      <w:marTop w:val="0"/>
      <w:marBottom w:val="0"/>
      <w:divBdr>
        <w:top w:val="none" w:sz="0" w:space="0" w:color="auto"/>
        <w:left w:val="none" w:sz="0" w:space="0" w:color="auto"/>
        <w:bottom w:val="none" w:sz="0" w:space="0" w:color="auto"/>
        <w:right w:val="none" w:sz="0" w:space="0" w:color="auto"/>
      </w:divBdr>
      <w:divsChild>
        <w:div w:id="1838693190">
          <w:marLeft w:val="547"/>
          <w:marRight w:val="0"/>
          <w:marTop w:val="0"/>
          <w:marBottom w:val="0"/>
          <w:divBdr>
            <w:top w:val="none" w:sz="0" w:space="0" w:color="auto"/>
            <w:left w:val="none" w:sz="0" w:space="0" w:color="auto"/>
            <w:bottom w:val="none" w:sz="0" w:space="0" w:color="auto"/>
            <w:right w:val="none" w:sz="0" w:space="0" w:color="auto"/>
          </w:divBdr>
        </w:div>
      </w:divsChild>
    </w:div>
    <w:div w:id="284385318">
      <w:bodyDiv w:val="1"/>
      <w:marLeft w:val="0"/>
      <w:marRight w:val="0"/>
      <w:marTop w:val="0"/>
      <w:marBottom w:val="0"/>
      <w:divBdr>
        <w:top w:val="none" w:sz="0" w:space="0" w:color="auto"/>
        <w:left w:val="none" w:sz="0" w:space="0" w:color="auto"/>
        <w:bottom w:val="none" w:sz="0" w:space="0" w:color="auto"/>
        <w:right w:val="none" w:sz="0" w:space="0" w:color="auto"/>
      </w:divBdr>
      <w:divsChild>
        <w:div w:id="2146316572">
          <w:marLeft w:val="547"/>
          <w:marRight w:val="0"/>
          <w:marTop w:val="0"/>
          <w:marBottom w:val="0"/>
          <w:divBdr>
            <w:top w:val="none" w:sz="0" w:space="0" w:color="auto"/>
            <w:left w:val="none" w:sz="0" w:space="0" w:color="auto"/>
            <w:bottom w:val="none" w:sz="0" w:space="0" w:color="auto"/>
            <w:right w:val="none" w:sz="0" w:space="0" w:color="auto"/>
          </w:divBdr>
        </w:div>
      </w:divsChild>
    </w:div>
    <w:div w:id="325475516">
      <w:bodyDiv w:val="1"/>
      <w:marLeft w:val="0"/>
      <w:marRight w:val="0"/>
      <w:marTop w:val="0"/>
      <w:marBottom w:val="0"/>
      <w:divBdr>
        <w:top w:val="none" w:sz="0" w:space="0" w:color="auto"/>
        <w:left w:val="none" w:sz="0" w:space="0" w:color="auto"/>
        <w:bottom w:val="none" w:sz="0" w:space="0" w:color="auto"/>
        <w:right w:val="none" w:sz="0" w:space="0" w:color="auto"/>
      </w:divBdr>
    </w:div>
    <w:div w:id="379087697">
      <w:bodyDiv w:val="1"/>
      <w:marLeft w:val="0"/>
      <w:marRight w:val="0"/>
      <w:marTop w:val="0"/>
      <w:marBottom w:val="0"/>
      <w:divBdr>
        <w:top w:val="none" w:sz="0" w:space="0" w:color="auto"/>
        <w:left w:val="none" w:sz="0" w:space="0" w:color="auto"/>
        <w:bottom w:val="none" w:sz="0" w:space="0" w:color="auto"/>
        <w:right w:val="none" w:sz="0" w:space="0" w:color="auto"/>
      </w:divBdr>
    </w:div>
    <w:div w:id="425157555">
      <w:bodyDiv w:val="1"/>
      <w:marLeft w:val="0"/>
      <w:marRight w:val="0"/>
      <w:marTop w:val="0"/>
      <w:marBottom w:val="0"/>
      <w:divBdr>
        <w:top w:val="none" w:sz="0" w:space="0" w:color="auto"/>
        <w:left w:val="none" w:sz="0" w:space="0" w:color="auto"/>
        <w:bottom w:val="none" w:sz="0" w:space="0" w:color="auto"/>
        <w:right w:val="none" w:sz="0" w:space="0" w:color="auto"/>
      </w:divBdr>
      <w:divsChild>
        <w:div w:id="2125803340">
          <w:marLeft w:val="547"/>
          <w:marRight w:val="0"/>
          <w:marTop w:val="0"/>
          <w:marBottom w:val="0"/>
          <w:divBdr>
            <w:top w:val="none" w:sz="0" w:space="0" w:color="auto"/>
            <w:left w:val="none" w:sz="0" w:space="0" w:color="auto"/>
            <w:bottom w:val="none" w:sz="0" w:space="0" w:color="auto"/>
            <w:right w:val="none" w:sz="0" w:space="0" w:color="auto"/>
          </w:divBdr>
        </w:div>
      </w:divsChild>
    </w:div>
    <w:div w:id="480343082">
      <w:bodyDiv w:val="1"/>
      <w:marLeft w:val="0"/>
      <w:marRight w:val="0"/>
      <w:marTop w:val="0"/>
      <w:marBottom w:val="0"/>
      <w:divBdr>
        <w:top w:val="none" w:sz="0" w:space="0" w:color="auto"/>
        <w:left w:val="none" w:sz="0" w:space="0" w:color="auto"/>
        <w:bottom w:val="none" w:sz="0" w:space="0" w:color="auto"/>
        <w:right w:val="none" w:sz="0" w:space="0" w:color="auto"/>
      </w:divBdr>
      <w:divsChild>
        <w:div w:id="447772184">
          <w:marLeft w:val="547"/>
          <w:marRight w:val="0"/>
          <w:marTop w:val="0"/>
          <w:marBottom w:val="0"/>
          <w:divBdr>
            <w:top w:val="none" w:sz="0" w:space="0" w:color="auto"/>
            <w:left w:val="none" w:sz="0" w:space="0" w:color="auto"/>
            <w:bottom w:val="none" w:sz="0" w:space="0" w:color="auto"/>
            <w:right w:val="none" w:sz="0" w:space="0" w:color="auto"/>
          </w:divBdr>
        </w:div>
      </w:divsChild>
    </w:div>
    <w:div w:id="494682922">
      <w:bodyDiv w:val="1"/>
      <w:marLeft w:val="0"/>
      <w:marRight w:val="0"/>
      <w:marTop w:val="0"/>
      <w:marBottom w:val="0"/>
      <w:divBdr>
        <w:top w:val="none" w:sz="0" w:space="0" w:color="auto"/>
        <w:left w:val="none" w:sz="0" w:space="0" w:color="auto"/>
        <w:bottom w:val="none" w:sz="0" w:space="0" w:color="auto"/>
        <w:right w:val="none" w:sz="0" w:space="0" w:color="auto"/>
      </w:divBdr>
    </w:div>
    <w:div w:id="555163520">
      <w:bodyDiv w:val="1"/>
      <w:marLeft w:val="0"/>
      <w:marRight w:val="0"/>
      <w:marTop w:val="0"/>
      <w:marBottom w:val="0"/>
      <w:divBdr>
        <w:top w:val="none" w:sz="0" w:space="0" w:color="auto"/>
        <w:left w:val="none" w:sz="0" w:space="0" w:color="auto"/>
        <w:bottom w:val="none" w:sz="0" w:space="0" w:color="auto"/>
        <w:right w:val="none" w:sz="0" w:space="0" w:color="auto"/>
      </w:divBdr>
      <w:divsChild>
        <w:div w:id="1481188485">
          <w:marLeft w:val="547"/>
          <w:marRight w:val="0"/>
          <w:marTop w:val="0"/>
          <w:marBottom w:val="0"/>
          <w:divBdr>
            <w:top w:val="none" w:sz="0" w:space="0" w:color="auto"/>
            <w:left w:val="none" w:sz="0" w:space="0" w:color="auto"/>
            <w:bottom w:val="none" w:sz="0" w:space="0" w:color="auto"/>
            <w:right w:val="none" w:sz="0" w:space="0" w:color="auto"/>
          </w:divBdr>
        </w:div>
      </w:divsChild>
    </w:div>
    <w:div w:id="565266335">
      <w:bodyDiv w:val="1"/>
      <w:marLeft w:val="0"/>
      <w:marRight w:val="0"/>
      <w:marTop w:val="0"/>
      <w:marBottom w:val="0"/>
      <w:divBdr>
        <w:top w:val="none" w:sz="0" w:space="0" w:color="auto"/>
        <w:left w:val="none" w:sz="0" w:space="0" w:color="auto"/>
        <w:bottom w:val="none" w:sz="0" w:space="0" w:color="auto"/>
        <w:right w:val="none" w:sz="0" w:space="0" w:color="auto"/>
      </w:divBdr>
    </w:div>
    <w:div w:id="580913534">
      <w:bodyDiv w:val="1"/>
      <w:marLeft w:val="0"/>
      <w:marRight w:val="0"/>
      <w:marTop w:val="0"/>
      <w:marBottom w:val="0"/>
      <w:divBdr>
        <w:top w:val="none" w:sz="0" w:space="0" w:color="auto"/>
        <w:left w:val="none" w:sz="0" w:space="0" w:color="auto"/>
        <w:bottom w:val="none" w:sz="0" w:space="0" w:color="auto"/>
        <w:right w:val="none" w:sz="0" w:space="0" w:color="auto"/>
      </w:divBdr>
    </w:div>
    <w:div w:id="670450294">
      <w:bodyDiv w:val="1"/>
      <w:marLeft w:val="0"/>
      <w:marRight w:val="0"/>
      <w:marTop w:val="0"/>
      <w:marBottom w:val="0"/>
      <w:divBdr>
        <w:top w:val="none" w:sz="0" w:space="0" w:color="auto"/>
        <w:left w:val="none" w:sz="0" w:space="0" w:color="auto"/>
        <w:bottom w:val="none" w:sz="0" w:space="0" w:color="auto"/>
        <w:right w:val="none" w:sz="0" w:space="0" w:color="auto"/>
      </w:divBdr>
    </w:div>
    <w:div w:id="755906321">
      <w:bodyDiv w:val="1"/>
      <w:marLeft w:val="0"/>
      <w:marRight w:val="0"/>
      <w:marTop w:val="0"/>
      <w:marBottom w:val="0"/>
      <w:divBdr>
        <w:top w:val="none" w:sz="0" w:space="0" w:color="auto"/>
        <w:left w:val="none" w:sz="0" w:space="0" w:color="auto"/>
        <w:bottom w:val="none" w:sz="0" w:space="0" w:color="auto"/>
        <w:right w:val="none" w:sz="0" w:space="0" w:color="auto"/>
      </w:divBdr>
      <w:divsChild>
        <w:div w:id="1047146437">
          <w:marLeft w:val="547"/>
          <w:marRight w:val="0"/>
          <w:marTop w:val="0"/>
          <w:marBottom w:val="0"/>
          <w:divBdr>
            <w:top w:val="none" w:sz="0" w:space="0" w:color="auto"/>
            <w:left w:val="none" w:sz="0" w:space="0" w:color="auto"/>
            <w:bottom w:val="none" w:sz="0" w:space="0" w:color="auto"/>
            <w:right w:val="none" w:sz="0" w:space="0" w:color="auto"/>
          </w:divBdr>
        </w:div>
      </w:divsChild>
    </w:div>
    <w:div w:id="761800990">
      <w:bodyDiv w:val="1"/>
      <w:marLeft w:val="0"/>
      <w:marRight w:val="0"/>
      <w:marTop w:val="0"/>
      <w:marBottom w:val="0"/>
      <w:divBdr>
        <w:top w:val="none" w:sz="0" w:space="0" w:color="auto"/>
        <w:left w:val="none" w:sz="0" w:space="0" w:color="auto"/>
        <w:bottom w:val="none" w:sz="0" w:space="0" w:color="auto"/>
        <w:right w:val="none" w:sz="0" w:space="0" w:color="auto"/>
      </w:divBdr>
    </w:div>
    <w:div w:id="776870686">
      <w:bodyDiv w:val="1"/>
      <w:marLeft w:val="0"/>
      <w:marRight w:val="0"/>
      <w:marTop w:val="0"/>
      <w:marBottom w:val="0"/>
      <w:divBdr>
        <w:top w:val="none" w:sz="0" w:space="0" w:color="auto"/>
        <w:left w:val="none" w:sz="0" w:space="0" w:color="auto"/>
        <w:bottom w:val="none" w:sz="0" w:space="0" w:color="auto"/>
        <w:right w:val="none" w:sz="0" w:space="0" w:color="auto"/>
      </w:divBdr>
      <w:divsChild>
        <w:div w:id="1458915297">
          <w:marLeft w:val="274"/>
          <w:marRight w:val="0"/>
          <w:marTop w:val="0"/>
          <w:marBottom w:val="0"/>
          <w:divBdr>
            <w:top w:val="none" w:sz="0" w:space="0" w:color="auto"/>
            <w:left w:val="none" w:sz="0" w:space="0" w:color="auto"/>
            <w:bottom w:val="none" w:sz="0" w:space="0" w:color="auto"/>
            <w:right w:val="none" w:sz="0" w:space="0" w:color="auto"/>
          </w:divBdr>
        </w:div>
      </w:divsChild>
    </w:div>
    <w:div w:id="972907613">
      <w:bodyDiv w:val="1"/>
      <w:marLeft w:val="0"/>
      <w:marRight w:val="0"/>
      <w:marTop w:val="0"/>
      <w:marBottom w:val="0"/>
      <w:divBdr>
        <w:top w:val="none" w:sz="0" w:space="0" w:color="auto"/>
        <w:left w:val="none" w:sz="0" w:space="0" w:color="auto"/>
        <w:bottom w:val="none" w:sz="0" w:space="0" w:color="auto"/>
        <w:right w:val="none" w:sz="0" w:space="0" w:color="auto"/>
      </w:divBdr>
      <w:divsChild>
        <w:div w:id="1591618628">
          <w:marLeft w:val="547"/>
          <w:marRight w:val="0"/>
          <w:marTop w:val="0"/>
          <w:marBottom w:val="0"/>
          <w:divBdr>
            <w:top w:val="none" w:sz="0" w:space="0" w:color="auto"/>
            <w:left w:val="none" w:sz="0" w:space="0" w:color="auto"/>
            <w:bottom w:val="none" w:sz="0" w:space="0" w:color="auto"/>
            <w:right w:val="none" w:sz="0" w:space="0" w:color="auto"/>
          </w:divBdr>
        </w:div>
      </w:divsChild>
    </w:div>
    <w:div w:id="998772884">
      <w:bodyDiv w:val="1"/>
      <w:marLeft w:val="0"/>
      <w:marRight w:val="0"/>
      <w:marTop w:val="0"/>
      <w:marBottom w:val="0"/>
      <w:divBdr>
        <w:top w:val="none" w:sz="0" w:space="0" w:color="auto"/>
        <w:left w:val="none" w:sz="0" w:space="0" w:color="auto"/>
        <w:bottom w:val="none" w:sz="0" w:space="0" w:color="auto"/>
        <w:right w:val="none" w:sz="0" w:space="0" w:color="auto"/>
      </w:divBdr>
    </w:div>
    <w:div w:id="1018045149">
      <w:bodyDiv w:val="1"/>
      <w:marLeft w:val="0"/>
      <w:marRight w:val="0"/>
      <w:marTop w:val="0"/>
      <w:marBottom w:val="0"/>
      <w:divBdr>
        <w:top w:val="none" w:sz="0" w:space="0" w:color="auto"/>
        <w:left w:val="none" w:sz="0" w:space="0" w:color="auto"/>
        <w:bottom w:val="none" w:sz="0" w:space="0" w:color="auto"/>
        <w:right w:val="none" w:sz="0" w:space="0" w:color="auto"/>
      </w:divBdr>
    </w:div>
    <w:div w:id="1104038761">
      <w:bodyDiv w:val="1"/>
      <w:marLeft w:val="0"/>
      <w:marRight w:val="0"/>
      <w:marTop w:val="0"/>
      <w:marBottom w:val="0"/>
      <w:divBdr>
        <w:top w:val="none" w:sz="0" w:space="0" w:color="auto"/>
        <w:left w:val="none" w:sz="0" w:space="0" w:color="auto"/>
        <w:bottom w:val="none" w:sz="0" w:space="0" w:color="auto"/>
        <w:right w:val="none" w:sz="0" w:space="0" w:color="auto"/>
      </w:divBdr>
    </w:div>
    <w:div w:id="1209490796">
      <w:bodyDiv w:val="1"/>
      <w:marLeft w:val="0"/>
      <w:marRight w:val="0"/>
      <w:marTop w:val="0"/>
      <w:marBottom w:val="0"/>
      <w:divBdr>
        <w:top w:val="none" w:sz="0" w:space="0" w:color="auto"/>
        <w:left w:val="none" w:sz="0" w:space="0" w:color="auto"/>
        <w:bottom w:val="none" w:sz="0" w:space="0" w:color="auto"/>
        <w:right w:val="none" w:sz="0" w:space="0" w:color="auto"/>
      </w:divBdr>
    </w:div>
    <w:div w:id="1249845862">
      <w:bodyDiv w:val="1"/>
      <w:marLeft w:val="0"/>
      <w:marRight w:val="0"/>
      <w:marTop w:val="0"/>
      <w:marBottom w:val="0"/>
      <w:divBdr>
        <w:top w:val="none" w:sz="0" w:space="0" w:color="auto"/>
        <w:left w:val="none" w:sz="0" w:space="0" w:color="auto"/>
        <w:bottom w:val="none" w:sz="0" w:space="0" w:color="auto"/>
        <w:right w:val="none" w:sz="0" w:space="0" w:color="auto"/>
      </w:divBdr>
      <w:divsChild>
        <w:div w:id="1405031941">
          <w:marLeft w:val="547"/>
          <w:marRight w:val="0"/>
          <w:marTop w:val="0"/>
          <w:marBottom w:val="0"/>
          <w:divBdr>
            <w:top w:val="none" w:sz="0" w:space="0" w:color="auto"/>
            <w:left w:val="none" w:sz="0" w:space="0" w:color="auto"/>
            <w:bottom w:val="none" w:sz="0" w:space="0" w:color="auto"/>
            <w:right w:val="none" w:sz="0" w:space="0" w:color="auto"/>
          </w:divBdr>
        </w:div>
      </w:divsChild>
    </w:div>
    <w:div w:id="1309482735">
      <w:bodyDiv w:val="1"/>
      <w:marLeft w:val="0"/>
      <w:marRight w:val="0"/>
      <w:marTop w:val="0"/>
      <w:marBottom w:val="0"/>
      <w:divBdr>
        <w:top w:val="none" w:sz="0" w:space="0" w:color="auto"/>
        <w:left w:val="none" w:sz="0" w:space="0" w:color="auto"/>
        <w:bottom w:val="none" w:sz="0" w:space="0" w:color="auto"/>
        <w:right w:val="none" w:sz="0" w:space="0" w:color="auto"/>
      </w:divBdr>
      <w:divsChild>
        <w:div w:id="817263075">
          <w:marLeft w:val="547"/>
          <w:marRight w:val="0"/>
          <w:marTop w:val="0"/>
          <w:marBottom w:val="0"/>
          <w:divBdr>
            <w:top w:val="none" w:sz="0" w:space="0" w:color="auto"/>
            <w:left w:val="none" w:sz="0" w:space="0" w:color="auto"/>
            <w:bottom w:val="none" w:sz="0" w:space="0" w:color="auto"/>
            <w:right w:val="none" w:sz="0" w:space="0" w:color="auto"/>
          </w:divBdr>
        </w:div>
      </w:divsChild>
    </w:div>
    <w:div w:id="1327592816">
      <w:bodyDiv w:val="1"/>
      <w:marLeft w:val="0"/>
      <w:marRight w:val="0"/>
      <w:marTop w:val="0"/>
      <w:marBottom w:val="0"/>
      <w:divBdr>
        <w:top w:val="none" w:sz="0" w:space="0" w:color="auto"/>
        <w:left w:val="none" w:sz="0" w:space="0" w:color="auto"/>
        <w:bottom w:val="none" w:sz="0" w:space="0" w:color="auto"/>
        <w:right w:val="none" w:sz="0" w:space="0" w:color="auto"/>
      </w:divBdr>
      <w:divsChild>
        <w:div w:id="534199099">
          <w:marLeft w:val="547"/>
          <w:marRight w:val="0"/>
          <w:marTop w:val="0"/>
          <w:marBottom w:val="0"/>
          <w:divBdr>
            <w:top w:val="none" w:sz="0" w:space="0" w:color="auto"/>
            <w:left w:val="none" w:sz="0" w:space="0" w:color="auto"/>
            <w:bottom w:val="none" w:sz="0" w:space="0" w:color="auto"/>
            <w:right w:val="none" w:sz="0" w:space="0" w:color="auto"/>
          </w:divBdr>
        </w:div>
      </w:divsChild>
    </w:div>
    <w:div w:id="1359237684">
      <w:bodyDiv w:val="1"/>
      <w:marLeft w:val="0"/>
      <w:marRight w:val="0"/>
      <w:marTop w:val="0"/>
      <w:marBottom w:val="0"/>
      <w:divBdr>
        <w:top w:val="none" w:sz="0" w:space="0" w:color="auto"/>
        <w:left w:val="none" w:sz="0" w:space="0" w:color="auto"/>
        <w:bottom w:val="none" w:sz="0" w:space="0" w:color="auto"/>
        <w:right w:val="none" w:sz="0" w:space="0" w:color="auto"/>
      </w:divBdr>
      <w:divsChild>
        <w:div w:id="697312411">
          <w:marLeft w:val="547"/>
          <w:marRight w:val="0"/>
          <w:marTop w:val="0"/>
          <w:marBottom w:val="0"/>
          <w:divBdr>
            <w:top w:val="none" w:sz="0" w:space="0" w:color="auto"/>
            <w:left w:val="none" w:sz="0" w:space="0" w:color="auto"/>
            <w:bottom w:val="none" w:sz="0" w:space="0" w:color="auto"/>
            <w:right w:val="none" w:sz="0" w:space="0" w:color="auto"/>
          </w:divBdr>
        </w:div>
      </w:divsChild>
    </w:div>
    <w:div w:id="1484005411">
      <w:bodyDiv w:val="1"/>
      <w:marLeft w:val="0"/>
      <w:marRight w:val="0"/>
      <w:marTop w:val="0"/>
      <w:marBottom w:val="0"/>
      <w:divBdr>
        <w:top w:val="none" w:sz="0" w:space="0" w:color="auto"/>
        <w:left w:val="none" w:sz="0" w:space="0" w:color="auto"/>
        <w:bottom w:val="none" w:sz="0" w:space="0" w:color="auto"/>
        <w:right w:val="none" w:sz="0" w:space="0" w:color="auto"/>
      </w:divBdr>
    </w:div>
    <w:div w:id="1507860555">
      <w:bodyDiv w:val="1"/>
      <w:marLeft w:val="0"/>
      <w:marRight w:val="0"/>
      <w:marTop w:val="0"/>
      <w:marBottom w:val="0"/>
      <w:divBdr>
        <w:top w:val="none" w:sz="0" w:space="0" w:color="auto"/>
        <w:left w:val="none" w:sz="0" w:space="0" w:color="auto"/>
        <w:bottom w:val="none" w:sz="0" w:space="0" w:color="auto"/>
        <w:right w:val="none" w:sz="0" w:space="0" w:color="auto"/>
      </w:divBdr>
    </w:div>
    <w:div w:id="1575315121">
      <w:bodyDiv w:val="1"/>
      <w:marLeft w:val="0"/>
      <w:marRight w:val="0"/>
      <w:marTop w:val="0"/>
      <w:marBottom w:val="0"/>
      <w:divBdr>
        <w:top w:val="none" w:sz="0" w:space="0" w:color="auto"/>
        <w:left w:val="none" w:sz="0" w:space="0" w:color="auto"/>
        <w:bottom w:val="none" w:sz="0" w:space="0" w:color="auto"/>
        <w:right w:val="none" w:sz="0" w:space="0" w:color="auto"/>
      </w:divBdr>
      <w:divsChild>
        <w:div w:id="390621974">
          <w:marLeft w:val="274"/>
          <w:marRight w:val="0"/>
          <w:marTop w:val="0"/>
          <w:marBottom w:val="0"/>
          <w:divBdr>
            <w:top w:val="none" w:sz="0" w:space="0" w:color="auto"/>
            <w:left w:val="none" w:sz="0" w:space="0" w:color="auto"/>
            <w:bottom w:val="none" w:sz="0" w:space="0" w:color="auto"/>
            <w:right w:val="none" w:sz="0" w:space="0" w:color="auto"/>
          </w:divBdr>
        </w:div>
      </w:divsChild>
    </w:div>
    <w:div w:id="1643121423">
      <w:bodyDiv w:val="1"/>
      <w:marLeft w:val="0"/>
      <w:marRight w:val="0"/>
      <w:marTop w:val="0"/>
      <w:marBottom w:val="0"/>
      <w:divBdr>
        <w:top w:val="none" w:sz="0" w:space="0" w:color="auto"/>
        <w:left w:val="none" w:sz="0" w:space="0" w:color="auto"/>
        <w:bottom w:val="none" w:sz="0" w:space="0" w:color="auto"/>
        <w:right w:val="none" w:sz="0" w:space="0" w:color="auto"/>
      </w:divBdr>
    </w:div>
    <w:div w:id="1789465678">
      <w:bodyDiv w:val="1"/>
      <w:marLeft w:val="0"/>
      <w:marRight w:val="0"/>
      <w:marTop w:val="0"/>
      <w:marBottom w:val="0"/>
      <w:divBdr>
        <w:top w:val="none" w:sz="0" w:space="0" w:color="auto"/>
        <w:left w:val="none" w:sz="0" w:space="0" w:color="auto"/>
        <w:bottom w:val="none" w:sz="0" w:space="0" w:color="auto"/>
        <w:right w:val="none" w:sz="0" w:space="0" w:color="auto"/>
      </w:divBdr>
    </w:div>
    <w:div w:id="1832091233">
      <w:bodyDiv w:val="1"/>
      <w:marLeft w:val="0"/>
      <w:marRight w:val="0"/>
      <w:marTop w:val="0"/>
      <w:marBottom w:val="0"/>
      <w:divBdr>
        <w:top w:val="none" w:sz="0" w:space="0" w:color="auto"/>
        <w:left w:val="none" w:sz="0" w:space="0" w:color="auto"/>
        <w:bottom w:val="none" w:sz="0" w:space="0" w:color="auto"/>
        <w:right w:val="none" w:sz="0" w:space="0" w:color="auto"/>
      </w:divBdr>
    </w:div>
    <w:div w:id="1910262740">
      <w:bodyDiv w:val="1"/>
      <w:marLeft w:val="0"/>
      <w:marRight w:val="0"/>
      <w:marTop w:val="0"/>
      <w:marBottom w:val="0"/>
      <w:divBdr>
        <w:top w:val="none" w:sz="0" w:space="0" w:color="auto"/>
        <w:left w:val="none" w:sz="0" w:space="0" w:color="auto"/>
        <w:bottom w:val="none" w:sz="0" w:space="0" w:color="auto"/>
        <w:right w:val="none" w:sz="0" w:space="0" w:color="auto"/>
      </w:divBdr>
      <w:divsChild>
        <w:div w:id="292906868">
          <w:marLeft w:val="547"/>
          <w:marRight w:val="0"/>
          <w:marTop w:val="0"/>
          <w:marBottom w:val="0"/>
          <w:divBdr>
            <w:top w:val="none" w:sz="0" w:space="0" w:color="auto"/>
            <w:left w:val="none" w:sz="0" w:space="0" w:color="auto"/>
            <w:bottom w:val="none" w:sz="0" w:space="0" w:color="auto"/>
            <w:right w:val="none" w:sz="0" w:space="0" w:color="auto"/>
          </w:divBdr>
        </w:div>
      </w:divsChild>
    </w:div>
    <w:div w:id="1943369935">
      <w:bodyDiv w:val="1"/>
      <w:marLeft w:val="0"/>
      <w:marRight w:val="0"/>
      <w:marTop w:val="0"/>
      <w:marBottom w:val="0"/>
      <w:divBdr>
        <w:top w:val="none" w:sz="0" w:space="0" w:color="auto"/>
        <w:left w:val="none" w:sz="0" w:space="0" w:color="auto"/>
        <w:bottom w:val="none" w:sz="0" w:space="0" w:color="auto"/>
        <w:right w:val="none" w:sz="0" w:space="0" w:color="auto"/>
      </w:divBdr>
    </w:div>
    <w:div w:id="1944266267">
      <w:bodyDiv w:val="1"/>
      <w:marLeft w:val="0"/>
      <w:marRight w:val="0"/>
      <w:marTop w:val="0"/>
      <w:marBottom w:val="0"/>
      <w:divBdr>
        <w:top w:val="none" w:sz="0" w:space="0" w:color="auto"/>
        <w:left w:val="none" w:sz="0" w:space="0" w:color="auto"/>
        <w:bottom w:val="none" w:sz="0" w:space="0" w:color="auto"/>
        <w:right w:val="none" w:sz="0" w:space="0" w:color="auto"/>
      </w:divBdr>
    </w:div>
    <w:div w:id="1981301927">
      <w:bodyDiv w:val="1"/>
      <w:marLeft w:val="0"/>
      <w:marRight w:val="0"/>
      <w:marTop w:val="0"/>
      <w:marBottom w:val="0"/>
      <w:divBdr>
        <w:top w:val="none" w:sz="0" w:space="0" w:color="auto"/>
        <w:left w:val="none" w:sz="0" w:space="0" w:color="auto"/>
        <w:bottom w:val="none" w:sz="0" w:space="0" w:color="auto"/>
        <w:right w:val="none" w:sz="0" w:space="0" w:color="auto"/>
      </w:divBdr>
    </w:div>
    <w:div w:id="1992445322">
      <w:bodyDiv w:val="1"/>
      <w:marLeft w:val="0"/>
      <w:marRight w:val="0"/>
      <w:marTop w:val="0"/>
      <w:marBottom w:val="0"/>
      <w:divBdr>
        <w:top w:val="none" w:sz="0" w:space="0" w:color="auto"/>
        <w:left w:val="none" w:sz="0" w:space="0" w:color="auto"/>
        <w:bottom w:val="none" w:sz="0" w:space="0" w:color="auto"/>
        <w:right w:val="none" w:sz="0" w:space="0" w:color="auto"/>
      </w:divBdr>
    </w:div>
    <w:div w:id="2046758007">
      <w:bodyDiv w:val="1"/>
      <w:marLeft w:val="0"/>
      <w:marRight w:val="0"/>
      <w:marTop w:val="0"/>
      <w:marBottom w:val="0"/>
      <w:divBdr>
        <w:top w:val="none" w:sz="0" w:space="0" w:color="auto"/>
        <w:left w:val="none" w:sz="0" w:space="0" w:color="auto"/>
        <w:bottom w:val="none" w:sz="0" w:space="0" w:color="auto"/>
        <w:right w:val="none" w:sz="0" w:space="0" w:color="auto"/>
      </w:divBdr>
      <w:divsChild>
        <w:div w:id="1896962995">
          <w:marLeft w:val="547"/>
          <w:marRight w:val="0"/>
          <w:marTop w:val="0"/>
          <w:marBottom w:val="0"/>
          <w:divBdr>
            <w:top w:val="none" w:sz="0" w:space="0" w:color="auto"/>
            <w:left w:val="none" w:sz="0" w:space="0" w:color="auto"/>
            <w:bottom w:val="none" w:sz="0" w:space="0" w:color="auto"/>
            <w:right w:val="none" w:sz="0" w:space="0" w:color="auto"/>
          </w:divBdr>
        </w:div>
      </w:divsChild>
    </w:div>
    <w:div w:id="2103649441">
      <w:bodyDiv w:val="1"/>
      <w:marLeft w:val="0"/>
      <w:marRight w:val="0"/>
      <w:marTop w:val="0"/>
      <w:marBottom w:val="0"/>
      <w:divBdr>
        <w:top w:val="none" w:sz="0" w:space="0" w:color="auto"/>
        <w:left w:val="none" w:sz="0" w:space="0" w:color="auto"/>
        <w:bottom w:val="none" w:sz="0" w:space="0" w:color="auto"/>
        <w:right w:val="none" w:sz="0" w:space="0" w:color="auto"/>
      </w:divBdr>
    </w:div>
    <w:div w:id="2130513009">
      <w:bodyDiv w:val="1"/>
      <w:marLeft w:val="0"/>
      <w:marRight w:val="0"/>
      <w:marTop w:val="0"/>
      <w:marBottom w:val="0"/>
      <w:divBdr>
        <w:top w:val="none" w:sz="0" w:space="0" w:color="auto"/>
        <w:left w:val="none" w:sz="0" w:space="0" w:color="auto"/>
        <w:bottom w:val="none" w:sz="0" w:space="0" w:color="auto"/>
        <w:right w:val="none" w:sz="0" w:space="0" w:color="auto"/>
      </w:divBdr>
      <w:divsChild>
        <w:div w:id="1599869092">
          <w:marLeft w:val="274"/>
          <w:marRight w:val="0"/>
          <w:marTop w:val="0"/>
          <w:marBottom w:val="0"/>
          <w:divBdr>
            <w:top w:val="none" w:sz="0" w:space="0" w:color="auto"/>
            <w:left w:val="none" w:sz="0" w:space="0" w:color="auto"/>
            <w:bottom w:val="none" w:sz="0" w:space="0" w:color="auto"/>
            <w:right w:val="none" w:sz="0" w:space="0" w:color="auto"/>
          </w:divBdr>
        </w:div>
      </w:divsChild>
    </w:div>
    <w:div w:id="214272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2795/araucaria.2021.i47.20" TargetMode="External"/><Relationship Id="rId26" Type="http://schemas.openxmlformats.org/officeDocument/2006/relationships/hyperlink" Target="https://doi.org/10.5209/aguc.64681" TargetMode="External"/><Relationship Id="rId3" Type="http://schemas.openxmlformats.org/officeDocument/2006/relationships/styles" Target="styles.xml"/><Relationship Id="rId21" Type="http://schemas.openxmlformats.org/officeDocument/2006/relationships/hyperlink" Target="https://economia.gencat.cat/web/.content/70_analisi_finances_publiques_financament_autonomic/arxius/estadistiques-informes/altres_informes/estat-benestar-aproximacio-conceptual-estadistica.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lobservatoriosocial.fundacionlacaixa.org/ca/-/sistema-d-habitatge-i-estat-del-benestar.-el-cas-espanyol-en-el-marc-europeu" TargetMode="External"/><Relationship Id="rId25" Type="http://schemas.openxmlformats.org/officeDocument/2006/relationships/hyperlink" Target="https://doi.org/10.1177/096977640100800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de.es/f/webbe/SES/Secciones/Publicaciones/PublicacionesAnuales/InformesAnuales/23/Fich/InfAnual_2023_Cap4.pdf" TargetMode="External"/><Relationship Id="rId20" Type="http://schemas.openxmlformats.org/officeDocument/2006/relationships/hyperlink" Target="https://www.foessa.es/main-files/uploads/sites/16/2019/06/Informe-FOESSA-2019_web-completo.pdf" TargetMode="External"/><Relationship Id="rId29" Type="http://schemas.openxmlformats.org/officeDocument/2006/relationships/hyperlink" Target="https://www.funcas.es/wp-content/uploads/2023/09/CIE-296_Torr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5209/CRLA.5498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positorio.bde.es/bitstream/123456789/8465/1/be1901.pdf" TargetMode="External"/><Relationship Id="rId23" Type="http://schemas.openxmlformats.org/officeDocument/2006/relationships/hyperlink" Target="https://www.bde.es/wbe/es/publicaciones/analisis-economico-investigacion/documentos-ocasionales/el-mercado-de-la-vivienda-residencial-en-espana-evolucion-reciente-y-comparacion-internacional.html" TargetMode="External"/><Relationship Id="rId28" Type="http://schemas.openxmlformats.org/officeDocument/2006/relationships/hyperlink" Target="https://doi.org/10.5209/reve.69165" TargetMode="External"/><Relationship Id="rId10" Type="http://schemas.openxmlformats.org/officeDocument/2006/relationships/image" Target="media/image3.png"/><Relationship Id="rId19" Type="http://schemas.openxmlformats.org/officeDocument/2006/relationships/hyperlink" Target="https://www.inrev.org/system/files/2019-10/NTRP-The-Economic-Impacts-of-Help-to-Buy-2019.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ritas.es/main-files/uploads/sites/31/2022/01/Informe-FOESSA-2022.pdf" TargetMode="External"/><Relationship Id="rId22" Type="http://schemas.openxmlformats.org/officeDocument/2006/relationships/hyperlink" Target="https://www.barcelona.cat/barcelonainclusiva/ca/2019/11/Diagnosi_sensellarisme_2019_WEB.pdf" TargetMode="External"/><Relationship Id="rId27" Type="http://schemas.openxmlformats.org/officeDocument/2006/relationships/hyperlink" Target="https://doi.org/10.18042/cepc/dpc.42.04" TargetMode="External"/><Relationship Id="rId30" Type="http://schemas.openxmlformats.org/officeDocument/2006/relationships/hyperlink" Target="https://www.ohb.cat/wp-content/uploads/2024/03/Presentacio-Carme-Trilla.pdf" TargetMode="Externa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ine.es/dyngs/INEbase/operacion.htm?c=Estadistica_C&amp;cid=1254736176817&amp;menu=ultiDatos&amp;idp=1254735976608" TargetMode="External"/><Relationship Id="rId13" Type="http://schemas.openxmlformats.org/officeDocument/2006/relationships/hyperlink" Target="https://www.ohchr.org/sites/default/files/Documents/Publications/WomenHousing_HR.PUB.11.2.pdf" TargetMode="External"/><Relationship Id="rId18" Type="http://schemas.openxmlformats.org/officeDocument/2006/relationships/hyperlink" Target="https://www.democrata.es/wp-content/uploads/2024/04/Informe-Francesco-Sandulli-I-El-impacto-de-las-VUT-en-Espana.pdf" TargetMode="External"/><Relationship Id="rId26" Type="http://schemas.openxmlformats.org/officeDocument/2006/relationships/hyperlink" Target="https://www.caixabankresearch.com/es/analisis-sectorial/inmobiliario/lo-revela-big-data-sobre-oferta-vivienda-nueva-y-tendencias" TargetMode="External"/><Relationship Id="rId3" Type="http://schemas.openxmlformats.org/officeDocument/2006/relationships/hyperlink" Target="https://www.ine.es/jaxiT3/Tabla.htm?t=4583&amp;L=0" TargetMode="External"/><Relationship Id="rId21" Type="http://schemas.openxmlformats.org/officeDocument/2006/relationships/hyperlink" Target="https://www.feantsa.org/en/news/2019/12/11/hsp-publication-50-housing-solutions?bcParent=27" TargetMode="External"/><Relationship Id="rId7" Type="http://schemas.openxmlformats.org/officeDocument/2006/relationships/hyperlink" Target="https://blogprofesional.fotocasa.es/una-habitacion-en-espana-cuesta-un-90-mas-que-en-2015/" TargetMode="External"/><Relationship Id="rId12" Type="http://schemas.openxmlformats.org/officeDocument/2006/relationships/hyperlink" Target="https://www.ohchr.org/en/special-procedures/sr-housing/women-and-right-adequate-housing" TargetMode="External"/><Relationship Id="rId17" Type="http://schemas.openxmlformats.org/officeDocument/2006/relationships/hyperlink" Target="https://ivalua.cat/" TargetMode="External"/><Relationship Id="rId25" Type="http://schemas.openxmlformats.org/officeDocument/2006/relationships/hyperlink" Target="https://repositori.justicia.gencat.cat/handle/20.500.14226/1413" TargetMode="External"/><Relationship Id="rId2" Type="http://schemas.openxmlformats.org/officeDocument/2006/relationships/hyperlink" Target="https://housing.urv.cat/es/dasiho/" TargetMode="External"/><Relationship Id="rId16" Type="http://schemas.openxmlformats.org/officeDocument/2006/relationships/hyperlink" Target="https://www.lavanguardia.com/economia/20241009/10007925/barcelona-perdido-75-oferta-alquiler-permanente-cinco-anos.html" TargetMode="External"/><Relationship Id="rId20" Type="http://schemas.openxmlformats.org/officeDocument/2006/relationships/hyperlink" Target="https://publications.parliament.uk/pa/cm5804/cmselect/cmcomloc/61/report.html" TargetMode="External"/><Relationship Id="rId29" Type="http://schemas.openxmlformats.org/officeDocument/2006/relationships/hyperlink" Target="https://pemb.cat/es/blog/richard_florida_se_lo_repiensa/17/" TargetMode="External"/><Relationship Id="rId1" Type="http://schemas.openxmlformats.org/officeDocument/2006/relationships/hyperlink" Target="https://futuros.gob.es/nuestro-trabajo/espana-2050" TargetMode="External"/><Relationship Id="rId6" Type="http://schemas.openxmlformats.org/officeDocument/2006/relationships/hyperlink" Target="https://www.eldiario.es/economia/mapa-grandes-tenedores-10-viviendas-municipio-municipio_1_11844214.html" TargetMode="External"/><Relationship Id="rId11" Type="http://schemas.openxmlformats.org/officeDocument/2006/relationships/hyperlink" Target="https://housing.urv.cat/liquid-housing/" TargetMode="External"/><Relationship Id="rId24" Type="http://schemas.openxmlformats.org/officeDocument/2006/relationships/hyperlink" Target="https://justicia.gencat.cat/ca/detalls/Article/arrendamentbens" TargetMode="External"/><Relationship Id="rId5" Type="http://schemas.openxmlformats.org/officeDocument/2006/relationships/hyperlink" Target="https://www.ine.es/jaxi/Tabla.htm?tpx=61873&amp;L=0" TargetMode="External"/><Relationship Id="rId15" Type="http://schemas.openxmlformats.org/officeDocument/2006/relationships/hyperlink" Target="https://www.lamoncloa.gob.es/serviciosdeprensa/notasprensa/vivienda-agenda-urbana/Paginas/2024/solicitar-avales-gobierno-ico-vivienda.aspx" TargetMode="External"/><Relationship Id="rId23" Type="http://schemas.openxmlformats.org/officeDocument/2006/relationships/hyperlink" Target="https://www.ecb.europa.eu/stats/html/index.es.html" TargetMode="External"/><Relationship Id="rId28" Type="http://schemas.openxmlformats.org/officeDocument/2006/relationships/hyperlink" Target="https://www.calameo.com/books/005958613a12ada2a7780" TargetMode="External"/><Relationship Id="rId10" Type="http://schemas.openxmlformats.org/officeDocument/2006/relationships/hyperlink" Target="https://futuresilience.eu" TargetMode="External"/><Relationship Id="rId19" Type="http://schemas.openxmlformats.org/officeDocument/2006/relationships/hyperlink" Target="https://www.fundacionmdp.org" TargetMode="External"/><Relationship Id="rId4" Type="http://schemas.openxmlformats.org/officeDocument/2006/relationships/hyperlink" Target="https://www.registradores.org/actualidad/portal-estadistico-registral/estadisticas-de-propiedad" TargetMode="External"/><Relationship Id="rId9" Type="http://schemas.openxmlformats.org/officeDocument/2006/relationships/hyperlink" Target="https://www.icerda.org/es/la-ocupacion-ilegal-de-viviendas-se-cifra-en-78-800-en-espana/" TargetMode="External"/><Relationship Id="rId14" Type="http://schemas.openxmlformats.org/officeDocument/2006/relationships/hyperlink" Target="https://elpais.com/economia/negocios/2025-02-08/la-locura-del-alquiler-de-habitaciones-520-euros-al-mes-por-ocho-metros-cuadrados.html" TargetMode="External"/><Relationship Id="rId22" Type="http://schemas.openxmlformats.org/officeDocument/2006/relationships/hyperlink" Target="https://euroval.com/octubre-2023-el-peso-de-la-vivienda-en-la-distribucion-de-la-riqueza-en-los-hogares-espanoles/" TargetMode="External"/><Relationship Id="rId27" Type="http://schemas.openxmlformats.org/officeDocument/2006/relationships/hyperlink" Target="https://elordenmundial.com/mapas-y-graficos/la-banana-azul-europ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ADB65-4B1C-024A-8A07-94A8E248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22</Pages>
  <Words>6434</Words>
  <Characters>35388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Simon Moreno</dc:creator>
  <cp:keywords/>
  <dc:description/>
  <cp:lastModifiedBy>Alicia Santillán</cp:lastModifiedBy>
  <cp:revision>19</cp:revision>
  <dcterms:created xsi:type="dcterms:W3CDTF">2025-03-28T18:49:00Z</dcterms:created>
  <dcterms:modified xsi:type="dcterms:W3CDTF">2025-05-05T02:41:00Z</dcterms:modified>
</cp:coreProperties>
</file>